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0C" w:rsidRPr="00986275" w:rsidRDefault="0037120C" w:rsidP="00396B05">
      <w:pPr>
        <w:spacing w:after="100" w:line="400" w:lineRule="atLeast"/>
        <w:jc w:val="center"/>
        <w:rPr>
          <w:rFonts w:ascii="Times New Roman" w:hAnsi="Times New Roman" w:cs="Times New Roman"/>
          <w:b/>
          <w:sz w:val="32"/>
          <w:szCs w:val="32"/>
        </w:rPr>
      </w:pPr>
    </w:p>
    <w:p w:rsidR="0037120C" w:rsidRPr="00986275" w:rsidRDefault="0037120C" w:rsidP="00396B05">
      <w:pPr>
        <w:spacing w:after="100" w:line="400" w:lineRule="atLeast"/>
        <w:jc w:val="center"/>
        <w:rPr>
          <w:b/>
          <w:sz w:val="32"/>
          <w:szCs w:val="32"/>
        </w:rPr>
      </w:pPr>
    </w:p>
    <w:p w:rsidR="0037120C" w:rsidRPr="00986275" w:rsidRDefault="0037120C" w:rsidP="00396B05">
      <w:pPr>
        <w:spacing w:after="100" w:line="400" w:lineRule="atLeast"/>
        <w:jc w:val="center"/>
        <w:rPr>
          <w:b/>
          <w:sz w:val="32"/>
          <w:szCs w:val="32"/>
        </w:rPr>
      </w:pPr>
    </w:p>
    <w:tbl>
      <w:tblPr>
        <w:tblpPr w:leftFromText="141" w:rightFromText="141" w:vertAnchor="page" w:horzAnchor="margin" w:tblpX="496" w:tblpY="159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37120C" w:rsidRPr="00986275" w:rsidTr="00733B92">
        <w:trPr>
          <w:trHeight w:val="2121"/>
        </w:trPr>
        <w:tc>
          <w:tcPr>
            <w:tcW w:w="9284" w:type="dxa"/>
            <w:tcBorders>
              <w:top w:val="single" w:sz="4" w:space="0" w:color="auto"/>
              <w:left w:val="single" w:sz="4" w:space="0" w:color="auto"/>
              <w:bottom w:val="single" w:sz="4" w:space="0" w:color="auto"/>
              <w:right w:val="single" w:sz="4" w:space="0" w:color="auto"/>
            </w:tcBorders>
          </w:tcPr>
          <w:p w:rsidR="0037120C" w:rsidRPr="00986275" w:rsidRDefault="0037120C" w:rsidP="00396B05">
            <w:pPr>
              <w:spacing w:after="100" w:line="400" w:lineRule="atLeast"/>
              <w:jc w:val="center"/>
              <w:rPr>
                <w:rFonts w:ascii="Times New Roman" w:hAnsi="Times New Roman" w:cs="Times New Roman"/>
                <w:b/>
                <w:sz w:val="32"/>
                <w:szCs w:val="32"/>
              </w:rPr>
            </w:pPr>
          </w:p>
          <w:p w:rsidR="0037120C" w:rsidRPr="00986275" w:rsidRDefault="0037120C" w:rsidP="00396B05">
            <w:pPr>
              <w:spacing w:after="100" w:line="400" w:lineRule="atLeast"/>
              <w:jc w:val="center"/>
              <w:rPr>
                <w:rFonts w:ascii="Times New Roman" w:hAnsi="Times New Roman" w:cs="Times New Roman"/>
                <w:b/>
                <w:sz w:val="32"/>
                <w:szCs w:val="32"/>
              </w:rPr>
            </w:pPr>
            <w:r w:rsidRPr="00986275">
              <w:rPr>
                <w:rFonts w:ascii="Times New Roman" w:hAnsi="Times New Roman" w:cs="Times New Roman"/>
                <w:b/>
                <w:sz w:val="32"/>
                <w:szCs w:val="32"/>
              </w:rPr>
              <w:t>Audizione al Senato</w:t>
            </w:r>
          </w:p>
          <w:p w:rsidR="0037120C" w:rsidRPr="00986275" w:rsidRDefault="0037120C" w:rsidP="00396B05">
            <w:pPr>
              <w:spacing w:after="100" w:line="400" w:lineRule="atLeast"/>
              <w:jc w:val="center"/>
              <w:rPr>
                <w:rFonts w:ascii="Times New Roman" w:hAnsi="Times New Roman" w:cs="Times New Roman"/>
                <w:b/>
                <w:sz w:val="32"/>
                <w:szCs w:val="32"/>
              </w:rPr>
            </w:pPr>
            <w:r w:rsidRPr="00986275">
              <w:rPr>
                <w:rFonts w:ascii="Times New Roman" w:hAnsi="Times New Roman" w:cs="Times New Roman"/>
                <w:b/>
                <w:sz w:val="32"/>
                <w:szCs w:val="32"/>
              </w:rPr>
              <w:t>Commissione VIII</w:t>
            </w:r>
          </w:p>
          <w:p w:rsidR="0037120C" w:rsidRPr="00986275" w:rsidRDefault="0037120C" w:rsidP="00396B05">
            <w:pPr>
              <w:spacing w:after="100" w:line="400" w:lineRule="atLeast"/>
              <w:jc w:val="center"/>
              <w:rPr>
                <w:rFonts w:ascii="Times New Roman" w:hAnsi="Times New Roman" w:cs="Times New Roman"/>
                <w:b/>
                <w:sz w:val="32"/>
                <w:szCs w:val="32"/>
              </w:rPr>
            </w:pPr>
            <w:r w:rsidRPr="00986275">
              <w:rPr>
                <w:rFonts w:ascii="Times New Roman" w:hAnsi="Times New Roman" w:cs="Times New Roman"/>
                <w:b/>
                <w:sz w:val="32"/>
                <w:szCs w:val="32"/>
              </w:rPr>
              <w:t>Lavori Pubblici, Comunicazioni</w:t>
            </w:r>
          </w:p>
          <w:p w:rsidR="0037120C" w:rsidRPr="00986275" w:rsidRDefault="0037120C" w:rsidP="00396B05">
            <w:pPr>
              <w:spacing w:after="100" w:line="400" w:lineRule="atLeast"/>
              <w:jc w:val="center"/>
              <w:rPr>
                <w:rFonts w:ascii="Times New Roman" w:hAnsi="Times New Roman" w:cs="Times New Roman"/>
                <w:b/>
                <w:sz w:val="32"/>
                <w:szCs w:val="32"/>
              </w:rPr>
            </w:pPr>
          </w:p>
        </w:tc>
      </w:tr>
    </w:tbl>
    <w:p w:rsidR="0037120C" w:rsidRPr="00986275" w:rsidRDefault="0037120C" w:rsidP="00396B05">
      <w:pPr>
        <w:spacing w:after="100" w:line="400" w:lineRule="atLeast"/>
        <w:jc w:val="center"/>
        <w:rPr>
          <w:rFonts w:ascii="Times New Roman" w:hAnsi="Times New Roman" w:cs="Times New Roman"/>
          <w:sz w:val="32"/>
          <w:szCs w:val="32"/>
        </w:rPr>
      </w:pPr>
    </w:p>
    <w:p w:rsidR="0037120C" w:rsidRPr="00986275" w:rsidRDefault="0037120C" w:rsidP="00396B05">
      <w:pPr>
        <w:spacing w:after="100" w:line="400" w:lineRule="atLeast"/>
        <w:jc w:val="center"/>
        <w:rPr>
          <w:rFonts w:ascii="Times New Roman" w:hAnsi="Times New Roman" w:cs="Times New Roman"/>
          <w:sz w:val="32"/>
          <w:szCs w:val="32"/>
        </w:rPr>
      </w:pPr>
    </w:p>
    <w:p w:rsidR="0037120C" w:rsidRPr="00986275" w:rsidRDefault="0037120C" w:rsidP="00396B05">
      <w:pPr>
        <w:spacing w:after="100" w:line="400" w:lineRule="atLeast"/>
        <w:jc w:val="center"/>
        <w:rPr>
          <w:rFonts w:ascii="Times New Roman" w:hAnsi="Times New Roman" w:cs="Times New Roman"/>
          <w:b/>
          <w:sz w:val="32"/>
          <w:szCs w:val="32"/>
        </w:rPr>
      </w:pPr>
      <w:r w:rsidRPr="00986275">
        <w:rPr>
          <w:rFonts w:ascii="Times New Roman" w:hAnsi="Times New Roman" w:cs="Times New Roman"/>
          <w:b/>
          <w:sz w:val="32"/>
          <w:szCs w:val="32"/>
        </w:rPr>
        <w:t>Il disegno di legge delega per il recepimento delle nuove direttive europee in materia di appalti e concessioni</w:t>
      </w:r>
    </w:p>
    <w:p w:rsidR="0037120C" w:rsidRPr="00986275" w:rsidRDefault="0037120C" w:rsidP="00396B05">
      <w:pPr>
        <w:spacing w:after="100" w:line="400" w:lineRule="atLeast"/>
        <w:jc w:val="center"/>
        <w:rPr>
          <w:rFonts w:ascii="Times New Roman" w:hAnsi="Times New Roman" w:cs="Times New Roman"/>
          <w:b/>
          <w:sz w:val="32"/>
          <w:szCs w:val="32"/>
        </w:rPr>
      </w:pPr>
      <w:r w:rsidRPr="00986275">
        <w:rPr>
          <w:rFonts w:ascii="Times New Roman" w:hAnsi="Times New Roman" w:cs="Times New Roman"/>
          <w:b/>
          <w:sz w:val="32"/>
          <w:szCs w:val="32"/>
        </w:rPr>
        <w:t>(AS 1678)</w:t>
      </w:r>
    </w:p>
    <w:p w:rsidR="0037120C" w:rsidRPr="00986275" w:rsidRDefault="0037120C" w:rsidP="00396B05">
      <w:pPr>
        <w:spacing w:after="100" w:line="400" w:lineRule="atLeast"/>
        <w:jc w:val="center"/>
        <w:rPr>
          <w:rFonts w:ascii="Times New Roman" w:hAnsi="Times New Roman" w:cs="Times New Roman"/>
          <w:sz w:val="32"/>
          <w:szCs w:val="32"/>
        </w:rPr>
      </w:pPr>
    </w:p>
    <w:p w:rsidR="0037120C" w:rsidRPr="00986275" w:rsidRDefault="0037120C" w:rsidP="00396B05">
      <w:pPr>
        <w:spacing w:after="100" w:line="400" w:lineRule="atLeast"/>
        <w:jc w:val="center"/>
        <w:rPr>
          <w:rFonts w:ascii="Times New Roman" w:hAnsi="Times New Roman" w:cs="Times New Roman"/>
          <w:sz w:val="32"/>
          <w:szCs w:val="32"/>
        </w:rPr>
      </w:pPr>
    </w:p>
    <w:p w:rsidR="0037120C" w:rsidRPr="00986275" w:rsidRDefault="0037120C" w:rsidP="00396B05">
      <w:pPr>
        <w:spacing w:after="100" w:line="400" w:lineRule="atLeast"/>
        <w:jc w:val="center"/>
        <w:rPr>
          <w:rFonts w:ascii="Times New Roman" w:hAnsi="Times New Roman" w:cs="Times New Roman"/>
          <w:b/>
          <w:sz w:val="32"/>
          <w:szCs w:val="32"/>
        </w:rPr>
      </w:pPr>
      <w:r w:rsidRPr="00986275">
        <w:rPr>
          <w:rFonts w:ascii="Times New Roman" w:hAnsi="Times New Roman" w:cs="Times New Roman"/>
          <w:b/>
          <w:sz w:val="32"/>
          <w:szCs w:val="32"/>
        </w:rPr>
        <w:t>Intervento del Presidente dell’ANAS S.p.A.</w:t>
      </w:r>
    </w:p>
    <w:p w:rsidR="0037120C" w:rsidRPr="00986275" w:rsidRDefault="0037120C" w:rsidP="00396B05">
      <w:pPr>
        <w:spacing w:after="100" w:line="400" w:lineRule="atLeast"/>
        <w:jc w:val="center"/>
        <w:rPr>
          <w:rFonts w:ascii="Times New Roman" w:hAnsi="Times New Roman" w:cs="Times New Roman"/>
          <w:b/>
          <w:sz w:val="32"/>
          <w:szCs w:val="32"/>
        </w:rPr>
      </w:pPr>
      <w:r w:rsidRPr="00986275">
        <w:rPr>
          <w:rFonts w:ascii="Times New Roman" w:hAnsi="Times New Roman" w:cs="Times New Roman"/>
          <w:b/>
          <w:sz w:val="32"/>
          <w:szCs w:val="32"/>
        </w:rPr>
        <w:t>Dott. Pietro Ciucci</w:t>
      </w:r>
    </w:p>
    <w:p w:rsidR="0037120C" w:rsidRDefault="0037120C" w:rsidP="00396B05">
      <w:pPr>
        <w:spacing w:after="100" w:line="400" w:lineRule="atLeast"/>
        <w:jc w:val="center"/>
        <w:rPr>
          <w:rFonts w:ascii="Times New Roman" w:hAnsi="Times New Roman" w:cs="Times New Roman"/>
          <w:sz w:val="32"/>
          <w:szCs w:val="32"/>
          <w:u w:val="single"/>
        </w:rPr>
      </w:pPr>
    </w:p>
    <w:p w:rsidR="00986275" w:rsidRDefault="00986275" w:rsidP="00396B05">
      <w:pPr>
        <w:spacing w:after="100" w:line="400" w:lineRule="atLeast"/>
        <w:jc w:val="center"/>
        <w:rPr>
          <w:rFonts w:ascii="Times New Roman" w:hAnsi="Times New Roman" w:cs="Times New Roman"/>
          <w:sz w:val="32"/>
          <w:szCs w:val="32"/>
          <w:u w:val="single"/>
        </w:rPr>
      </w:pPr>
    </w:p>
    <w:p w:rsidR="00986275" w:rsidRPr="00986275" w:rsidRDefault="00986275" w:rsidP="00396B05">
      <w:pPr>
        <w:spacing w:after="100" w:line="400" w:lineRule="atLeast"/>
        <w:jc w:val="center"/>
        <w:rPr>
          <w:rFonts w:ascii="Times New Roman" w:hAnsi="Times New Roman" w:cs="Times New Roman"/>
          <w:sz w:val="32"/>
          <w:szCs w:val="32"/>
          <w:u w:val="single"/>
        </w:rPr>
      </w:pPr>
    </w:p>
    <w:p w:rsidR="0037120C" w:rsidRPr="00986275" w:rsidRDefault="006A6BD4" w:rsidP="00396B05">
      <w:pPr>
        <w:spacing w:after="100" w:line="400" w:lineRule="atLeast"/>
        <w:jc w:val="center"/>
        <w:rPr>
          <w:rFonts w:ascii="Times New Roman" w:hAnsi="Times New Roman" w:cs="Times New Roman"/>
          <w:sz w:val="32"/>
          <w:szCs w:val="32"/>
          <w:u w:val="single"/>
        </w:rPr>
      </w:pPr>
      <w:r w:rsidRPr="00986275">
        <w:rPr>
          <w:rFonts w:ascii="Times New Roman" w:hAnsi="Times New Roman" w:cs="Times New Roman"/>
          <w:sz w:val="32"/>
          <w:szCs w:val="32"/>
          <w:u w:val="single"/>
        </w:rPr>
        <w:t>Sintesi</w:t>
      </w:r>
    </w:p>
    <w:p w:rsidR="001C4ED3" w:rsidRPr="00986275" w:rsidRDefault="001C4ED3" w:rsidP="00396B05">
      <w:pPr>
        <w:spacing w:after="100" w:line="400" w:lineRule="atLeast"/>
        <w:ind w:left="709"/>
        <w:jc w:val="center"/>
        <w:rPr>
          <w:rFonts w:ascii="Times New Roman" w:hAnsi="Times New Roman" w:cs="Times New Roman"/>
          <w:b/>
          <w:i/>
          <w:sz w:val="32"/>
          <w:szCs w:val="32"/>
        </w:rPr>
      </w:pPr>
    </w:p>
    <w:p w:rsidR="001C4ED3" w:rsidRDefault="001C4ED3" w:rsidP="00396B05">
      <w:pPr>
        <w:spacing w:after="100" w:line="400" w:lineRule="atLeast"/>
        <w:ind w:left="709"/>
        <w:jc w:val="center"/>
        <w:rPr>
          <w:rFonts w:ascii="Times New Roman" w:hAnsi="Times New Roman" w:cs="Times New Roman"/>
          <w:b/>
          <w:i/>
          <w:sz w:val="32"/>
          <w:szCs w:val="32"/>
        </w:rPr>
      </w:pPr>
    </w:p>
    <w:p w:rsidR="00986275" w:rsidRDefault="00986275" w:rsidP="00396B05">
      <w:pPr>
        <w:spacing w:after="100" w:line="400" w:lineRule="atLeast"/>
        <w:ind w:left="709"/>
        <w:jc w:val="center"/>
        <w:rPr>
          <w:rFonts w:ascii="Times New Roman" w:hAnsi="Times New Roman" w:cs="Times New Roman"/>
          <w:b/>
          <w:i/>
          <w:sz w:val="32"/>
          <w:szCs w:val="32"/>
        </w:rPr>
      </w:pPr>
    </w:p>
    <w:p w:rsidR="00986275" w:rsidRDefault="00986275" w:rsidP="00396B05">
      <w:pPr>
        <w:spacing w:after="100" w:line="400" w:lineRule="atLeast"/>
        <w:ind w:left="709"/>
        <w:jc w:val="center"/>
        <w:rPr>
          <w:rFonts w:ascii="Times New Roman" w:hAnsi="Times New Roman" w:cs="Times New Roman"/>
          <w:b/>
          <w:i/>
          <w:sz w:val="32"/>
          <w:szCs w:val="32"/>
        </w:rPr>
      </w:pPr>
    </w:p>
    <w:p w:rsidR="00986275" w:rsidRPr="00986275" w:rsidRDefault="00986275" w:rsidP="00396B05">
      <w:pPr>
        <w:spacing w:after="100" w:line="400" w:lineRule="atLeast"/>
        <w:ind w:left="709"/>
        <w:jc w:val="center"/>
        <w:rPr>
          <w:rFonts w:ascii="Times New Roman" w:hAnsi="Times New Roman" w:cs="Times New Roman"/>
          <w:b/>
          <w:i/>
          <w:sz w:val="32"/>
          <w:szCs w:val="32"/>
        </w:rPr>
      </w:pPr>
    </w:p>
    <w:p w:rsidR="0037120C" w:rsidRPr="00986275" w:rsidRDefault="0037120C" w:rsidP="00396B05">
      <w:pPr>
        <w:spacing w:after="100" w:line="400" w:lineRule="atLeast"/>
        <w:jc w:val="center"/>
        <w:rPr>
          <w:rFonts w:ascii="Times New Roman" w:hAnsi="Times New Roman" w:cs="Times New Roman"/>
          <w:b/>
          <w:i/>
          <w:sz w:val="32"/>
          <w:szCs w:val="32"/>
        </w:rPr>
      </w:pPr>
      <w:r w:rsidRPr="00986275">
        <w:rPr>
          <w:rFonts w:ascii="Times New Roman" w:hAnsi="Times New Roman" w:cs="Times New Roman"/>
          <w:b/>
          <w:i/>
          <w:sz w:val="32"/>
          <w:szCs w:val="32"/>
        </w:rPr>
        <w:t>Roma, 17 marzo 2015</w:t>
      </w:r>
    </w:p>
    <w:p w:rsidR="0037120C" w:rsidRPr="00986275" w:rsidRDefault="0037120C" w:rsidP="00396B05">
      <w:pPr>
        <w:spacing w:after="100" w:line="300" w:lineRule="atLeast"/>
        <w:jc w:val="both"/>
        <w:rPr>
          <w:rFonts w:ascii="Times New Roman" w:hAnsi="Times New Roman" w:cs="Times New Roman"/>
          <w:b/>
          <w:sz w:val="24"/>
          <w:szCs w:val="24"/>
        </w:rPr>
      </w:pPr>
      <w:r w:rsidRPr="00986275">
        <w:rPr>
          <w:rFonts w:ascii="Tahoma" w:hAnsi="Tahoma" w:cs="Tahoma"/>
          <w:b/>
          <w:sz w:val="24"/>
          <w:szCs w:val="24"/>
          <w:u w:val="single"/>
        </w:rPr>
        <w:br w:type="page"/>
      </w:r>
    </w:p>
    <w:p w:rsidR="004C105B" w:rsidRPr="00986275" w:rsidRDefault="004C105B" w:rsidP="00396B05">
      <w:pPr>
        <w:spacing w:after="100" w:line="300" w:lineRule="atLeast"/>
        <w:jc w:val="center"/>
        <w:rPr>
          <w:rFonts w:ascii="Times New Roman" w:hAnsi="Times New Roman" w:cs="Times New Roman"/>
          <w:b/>
          <w:sz w:val="24"/>
          <w:szCs w:val="24"/>
        </w:rPr>
      </w:pPr>
      <w:r w:rsidRPr="00986275">
        <w:rPr>
          <w:rFonts w:ascii="Times New Roman" w:hAnsi="Times New Roman" w:cs="Times New Roman"/>
          <w:b/>
          <w:sz w:val="24"/>
          <w:szCs w:val="24"/>
        </w:rPr>
        <w:t>Il disegno di legge delega per il recepimento delle nuove direttive europee in materia di appalti e concessioni (AS 1678)</w:t>
      </w:r>
    </w:p>
    <w:p w:rsidR="004C105B" w:rsidRPr="00986275" w:rsidRDefault="004C105B" w:rsidP="00396B05">
      <w:pPr>
        <w:spacing w:after="100" w:line="300" w:lineRule="atLeast"/>
        <w:jc w:val="center"/>
        <w:rPr>
          <w:rFonts w:ascii="Times New Roman" w:hAnsi="Times New Roman" w:cs="Times New Roman"/>
          <w:sz w:val="24"/>
          <w:szCs w:val="24"/>
        </w:rPr>
      </w:pPr>
    </w:p>
    <w:p w:rsidR="0037120C" w:rsidRPr="00986275" w:rsidRDefault="00CD4C42" w:rsidP="00396B05">
      <w:pPr>
        <w:spacing w:after="100" w:line="300" w:lineRule="atLeast"/>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37120C" w:rsidRPr="00986275">
        <w:rPr>
          <w:rFonts w:ascii="Times New Roman" w:hAnsi="Times New Roman" w:cs="Times New Roman"/>
          <w:b/>
          <w:sz w:val="24"/>
          <w:szCs w:val="24"/>
        </w:rPr>
        <w:t>Premessa</w:t>
      </w:r>
    </w:p>
    <w:p w:rsidR="006A6BD4" w:rsidRPr="00986275" w:rsidRDefault="0037120C" w:rsidP="00EC05D8">
      <w:pPr>
        <w:pStyle w:val="Paragrafoelenco"/>
        <w:numPr>
          <w:ilvl w:val="0"/>
          <w:numId w:val="4"/>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Desidero in primo luogo esprimere un sincero ringraziamento al Presidente della Commissione, Sen. Matteoli, e a tutti i Senatori presenti per l’invito a partecipare a questa importante audizione sul disegno di legge delega </w:t>
      </w:r>
      <w:r w:rsidR="006A6BD4" w:rsidRPr="00986275">
        <w:rPr>
          <w:rFonts w:ascii="Times New Roman" w:hAnsi="Times New Roman"/>
          <w:sz w:val="24"/>
          <w:szCs w:val="24"/>
        </w:rPr>
        <w:t xml:space="preserve">- attualmente all’esame della Commissione - </w:t>
      </w:r>
      <w:r w:rsidRPr="00986275">
        <w:rPr>
          <w:rFonts w:ascii="Times New Roman" w:hAnsi="Times New Roman"/>
          <w:sz w:val="24"/>
          <w:szCs w:val="24"/>
        </w:rPr>
        <w:t>per il recepimento delle nuove direttive europee in materia di appalti e concessioni, argomento che riveste una particolare rilevanza per l’ANAS, considerato il suo ruolo di prima stazione appaltante in Italia.</w:t>
      </w:r>
    </w:p>
    <w:p w:rsidR="00CD4C42" w:rsidRPr="00CD4C42" w:rsidRDefault="00005F23" w:rsidP="00EC05D8">
      <w:pPr>
        <w:pStyle w:val="Paragrafoelenco"/>
        <w:numPr>
          <w:ilvl w:val="0"/>
          <w:numId w:val="4"/>
        </w:numPr>
        <w:spacing w:after="100" w:line="300" w:lineRule="atLeast"/>
        <w:contextualSpacing w:val="0"/>
        <w:jc w:val="both"/>
        <w:rPr>
          <w:rFonts w:ascii="Times New Roman" w:eastAsia="Times New Roman" w:hAnsi="Times New Roman"/>
          <w:sz w:val="24"/>
          <w:szCs w:val="24"/>
          <w:lang w:eastAsia="it-IT"/>
        </w:rPr>
      </w:pPr>
      <w:r w:rsidRPr="00986275">
        <w:rPr>
          <w:rFonts w:ascii="Times New Roman" w:hAnsi="Times New Roman"/>
          <w:sz w:val="24"/>
          <w:szCs w:val="24"/>
        </w:rPr>
        <w:t xml:space="preserve">L’approccio seguito dalla Commissione anticipa in qualche modo l’impostazione metodologica che dovrà imperniare anche l’attività del legislatore delegato, posto che il disegno di legge delega prevede espressamente che le principali </w:t>
      </w:r>
      <w:r w:rsidRPr="00986275">
        <w:rPr>
          <w:rFonts w:ascii="Times New Roman" w:hAnsi="Times New Roman"/>
          <w:bCs/>
          <w:sz w:val="24"/>
          <w:szCs w:val="24"/>
        </w:rPr>
        <w:t>categorie dei soggetti pubblici e privati destinatari diretti e indiretti della nuova normativa</w:t>
      </w:r>
      <w:r w:rsidRPr="00986275">
        <w:rPr>
          <w:rFonts w:ascii="Times New Roman" w:hAnsi="Times New Roman"/>
          <w:sz w:val="24"/>
          <w:szCs w:val="24"/>
        </w:rPr>
        <w:t xml:space="preserve"> saranno chiamati nuovamente ad esprimersi, mediante apposite consultazioni, </w:t>
      </w:r>
      <w:r w:rsidRPr="00986275">
        <w:rPr>
          <w:rFonts w:ascii="Times New Roman" w:hAnsi="Times New Roman"/>
          <w:bCs/>
          <w:sz w:val="24"/>
          <w:szCs w:val="24"/>
        </w:rPr>
        <w:t>preliminarmente alla redazione dello schema di decreto legislativo</w:t>
      </w:r>
      <w:r w:rsidRPr="00986275">
        <w:rPr>
          <w:rFonts w:ascii="Times New Roman" w:hAnsi="Times New Roman"/>
          <w:sz w:val="24"/>
          <w:szCs w:val="24"/>
        </w:rPr>
        <w:t xml:space="preserve"> attuativo della delega, al fine di consentire l’analisi dell’impatto della regolamentazione (“AIR”).</w:t>
      </w:r>
    </w:p>
    <w:p w:rsidR="00CD4C42" w:rsidRDefault="00CD4C42" w:rsidP="00CD4C42">
      <w:pPr>
        <w:pStyle w:val="Paragrafoelenco"/>
        <w:spacing w:after="100" w:line="300" w:lineRule="atLeast"/>
        <w:ind w:left="360"/>
        <w:contextualSpacing w:val="0"/>
        <w:jc w:val="both"/>
        <w:rPr>
          <w:rFonts w:ascii="Times New Roman" w:eastAsia="Times New Roman" w:hAnsi="Times New Roman"/>
          <w:sz w:val="24"/>
          <w:szCs w:val="24"/>
          <w:lang w:eastAsia="it-IT"/>
        </w:rPr>
      </w:pPr>
    </w:p>
    <w:p w:rsidR="00CD4C42" w:rsidRPr="00CD4C42" w:rsidRDefault="00CD4C42" w:rsidP="00CD4C42">
      <w:pPr>
        <w:spacing w:after="100" w:line="300" w:lineRule="atLeast"/>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C</w:t>
      </w:r>
      <w:r w:rsidRPr="00CD4C42">
        <w:rPr>
          <w:rFonts w:ascii="Times New Roman" w:hAnsi="Times New Roman" w:cs="Times New Roman"/>
          <w:b/>
          <w:sz w:val="24"/>
          <w:szCs w:val="24"/>
        </w:rPr>
        <w:t xml:space="preserve">ondivisione dei principi cardine </w:t>
      </w:r>
      <w:r>
        <w:rPr>
          <w:rFonts w:ascii="Times New Roman" w:hAnsi="Times New Roman" w:cs="Times New Roman"/>
          <w:b/>
          <w:sz w:val="24"/>
          <w:szCs w:val="24"/>
        </w:rPr>
        <w:t>contenuti nel disegno di legge</w:t>
      </w:r>
    </w:p>
    <w:p w:rsidR="00CD4C42" w:rsidRPr="00CD4C42" w:rsidRDefault="00005F23" w:rsidP="00EC05D8">
      <w:pPr>
        <w:pStyle w:val="Paragrafoelenco"/>
        <w:numPr>
          <w:ilvl w:val="0"/>
          <w:numId w:val="5"/>
        </w:numPr>
        <w:spacing w:after="100" w:line="300" w:lineRule="atLeast"/>
        <w:contextualSpacing w:val="0"/>
        <w:jc w:val="both"/>
        <w:rPr>
          <w:rFonts w:ascii="Times New Roman" w:hAnsi="Times New Roman"/>
          <w:sz w:val="24"/>
          <w:szCs w:val="24"/>
        </w:rPr>
      </w:pPr>
      <w:r w:rsidRPr="00CD4C42">
        <w:rPr>
          <w:rFonts w:ascii="Times New Roman" w:hAnsi="Times New Roman"/>
          <w:sz w:val="24"/>
          <w:szCs w:val="24"/>
        </w:rPr>
        <w:t>Con riguardo al disegno di legge delega</w:t>
      </w:r>
      <w:r w:rsidR="0037120C" w:rsidRPr="00CD4C42">
        <w:rPr>
          <w:rFonts w:ascii="Times New Roman" w:hAnsi="Times New Roman"/>
          <w:sz w:val="24"/>
          <w:szCs w:val="24"/>
        </w:rPr>
        <w:t xml:space="preserve">, </w:t>
      </w:r>
      <w:r w:rsidR="00CD4C42" w:rsidRPr="00CD4C42">
        <w:rPr>
          <w:rFonts w:ascii="Times New Roman" w:hAnsi="Times New Roman"/>
          <w:sz w:val="24"/>
          <w:szCs w:val="24"/>
        </w:rPr>
        <w:t xml:space="preserve">mi preme in primo luogo </w:t>
      </w:r>
      <w:r w:rsidR="0037120C" w:rsidRPr="00CD4C42">
        <w:rPr>
          <w:rFonts w:ascii="Times New Roman" w:hAnsi="Times New Roman"/>
          <w:sz w:val="24"/>
          <w:szCs w:val="24"/>
        </w:rPr>
        <w:t xml:space="preserve">manifestare il </w:t>
      </w:r>
      <w:r w:rsidR="0037120C" w:rsidRPr="00B7630C">
        <w:rPr>
          <w:rFonts w:ascii="Times New Roman" w:hAnsi="Times New Roman"/>
          <w:b/>
          <w:sz w:val="24"/>
          <w:szCs w:val="24"/>
        </w:rPr>
        <w:t xml:space="preserve">massimo apprezzamento e condivisione dei </w:t>
      </w:r>
      <w:r w:rsidR="00CD4C42" w:rsidRPr="00B7630C">
        <w:rPr>
          <w:rFonts w:ascii="Times New Roman" w:hAnsi="Times New Roman"/>
          <w:b/>
          <w:sz w:val="24"/>
          <w:szCs w:val="24"/>
        </w:rPr>
        <w:t>criteri direttivi</w:t>
      </w:r>
      <w:r w:rsidR="00CD4C42" w:rsidRPr="00CD4C42">
        <w:rPr>
          <w:rFonts w:ascii="Times New Roman" w:hAnsi="Times New Roman"/>
          <w:sz w:val="24"/>
          <w:szCs w:val="24"/>
        </w:rPr>
        <w:t xml:space="preserve"> ivi indicati</w:t>
      </w:r>
      <w:r w:rsidR="006A6BD4" w:rsidRPr="00CD4C42">
        <w:rPr>
          <w:rFonts w:ascii="Times New Roman" w:hAnsi="Times New Roman"/>
          <w:sz w:val="24"/>
          <w:szCs w:val="24"/>
        </w:rPr>
        <w:t>,</w:t>
      </w:r>
      <w:r w:rsidR="0037120C" w:rsidRPr="00CD4C42">
        <w:rPr>
          <w:rFonts w:ascii="Times New Roman" w:hAnsi="Times New Roman"/>
          <w:sz w:val="24"/>
          <w:szCs w:val="24"/>
        </w:rPr>
        <w:t xml:space="preserve"> </w:t>
      </w:r>
      <w:r w:rsidR="00CD4C42" w:rsidRPr="00CD4C42">
        <w:rPr>
          <w:rFonts w:ascii="Times New Roman" w:hAnsi="Times New Roman"/>
          <w:sz w:val="24"/>
          <w:szCs w:val="24"/>
        </w:rPr>
        <w:t xml:space="preserve">che ruotano attorno </w:t>
      </w:r>
      <w:r w:rsidR="00CD4C42" w:rsidRPr="00CD4C42">
        <w:rPr>
          <w:rFonts w:ascii="Times New Roman" w:hAnsi="Times New Roman"/>
          <w:b/>
          <w:sz w:val="24"/>
          <w:szCs w:val="24"/>
        </w:rPr>
        <w:t>a</w:t>
      </w:r>
      <w:r w:rsidR="00CD4C42">
        <w:rPr>
          <w:rFonts w:ascii="Times New Roman" w:hAnsi="Times New Roman"/>
          <w:b/>
          <w:sz w:val="24"/>
          <w:szCs w:val="24"/>
        </w:rPr>
        <w:t xml:space="preserve">d alcuni </w:t>
      </w:r>
      <w:r w:rsidR="00CD4C42" w:rsidRPr="00CD4C42">
        <w:rPr>
          <w:rFonts w:ascii="Times New Roman" w:hAnsi="Times New Roman"/>
          <w:b/>
          <w:sz w:val="24"/>
          <w:szCs w:val="24"/>
        </w:rPr>
        <w:t>principi cardine</w:t>
      </w:r>
      <w:r w:rsidR="00B7630C">
        <w:rPr>
          <w:rFonts w:ascii="Times New Roman" w:hAnsi="Times New Roman"/>
          <w:sz w:val="24"/>
          <w:szCs w:val="24"/>
        </w:rPr>
        <w:t>, condivisi</w:t>
      </w:r>
      <w:r w:rsidR="00B7630C" w:rsidRPr="00CD4C42">
        <w:rPr>
          <w:rFonts w:ascii="Times New Roman" w:hAnsi="Times New Roman"/>
          <w:sz w:val="24"/>
          <w:szCs w:val="24"/>
        </w:rPr>
        <w:t xml:space="preserve"> da tutti gli operatori del settore</w:t>
      </w:r>
      <w:r w:rsidR="00B7630C">
        <w:rPr>
          <w:rFonts w:ascii="Times New Roman" w:hAnsi="Times New Roman"/>
          <w:sz w:val="24"/>
          <w:szCs w:val="24"/>
        </w:rPr>
        <w:t>:</w:t>
      </w:r>
    </w:p>
    <w:p w:rsidR="00CD4C42" w:rsidRPr="00CD4C42" w:rsidRDefault="00CD4C42" w:rsidP="00EC05D8">
      <w:pPr>
        <w:pStyle w:val="Paragrafoelenco"/>
        <w:numPr>
          <w:ilvl w:val="0"/>
          <w:numId w:val="14"/>
        </w:numPr>
        <w:spacing w:after="100" w:line="300" w:lineRule="atLeast"/>
        <w:contextualSpacing w:val="0"/>
        <w:jc w:val="both"/>
        <w:rPr>
          <w:rFonts w:ascii="Times New Roman" w:hAnsi="Times New Roman"/>
          <w:sz w:val="24"/>
          <w:szCs w:val="24"/>
        </w:rPr>
      </w:pPr>
      <w:r>
        <w:rPr>
          <w:rFonts w:ascii="Times New Roman" w:hAnsi="Times New Roman"/>
          <w:b/>
          <w:sz w:val="24"/>
          <w:szCs w:val="24"/>
        </w:rPr>
        <w:t>l’esigenza</w:t>
      </w:r>
      <w:r w:rsidR="00B7630C">
        <w:rPr>
          <w:rFonts w:ascii="Times New Roman" w:hAnsi="Times New Roman"/>
          <w:b/>
          <w:sz w:val="24"/>
          <w:szCs w:val="24"/>
        </w:rPr>
        <w:t xml:space="preserve"> </w:t>
      </w:r>
      <w:r>
        <w:rPr>
          <w:rFonts w:ascii="Times New Roman" w:hAnsi="Times New Roman"/>
          <w:b/>
          <w:sz w:val="24"/>
          <w:szCs w:val="24"/>
        </w:rPr>
        <w:t xml:space="preserve">di </w:t>
      </w:r>
      <w:r w:rsidRPr="00CD4C42">
        <w:rPr>
          <w:rFonts w:ascii="Times New Roman" w:hAnsi="Times New Roman"/>
          <w:sz w:val="24"/>
          <w:szCs w:val="24"/>
        </w:rPr>
        <w:t>s</w:t>
      </w:r>
      <w:r w:rsidR="00B436D6" w:rsidRPr="00CD4C42">
        <w:rPr>
          <w:rFonts w:ascii="Times New Roman" w:hAnsi="Times New Roman"/>
          <w:b/>
          <w:sz w:val="24"/>
          <w:szCs w:val="24"/>
        </w:rPr>
        <w:t xml:space="preserve">emplificazione e razionalizzazione del quadro normativo </w:t>
      </w:r>
      <w:r w:rsidRPr="00CD4C42">
        <w:rPr>
          <w:rFonts w:ascii="Times New Roman" w:hAnsi="Times New Roman"/>
          <w:b/>
          <w:sz w:val="24"/>
          <w:szCs w:val="24"/>
        </w:rPr>
        <w:t xml:space="preserve">e procedurale </w:t>
      </w:r>
      <w:r w:rsidR="00B436D6" w:rsidRPr="00CD4C42">
        <w:rPr>
          <w:rFonts w:ascii="Times New Roman" w:hAnsi="Times New Roman"/>
          <w:b/>
          <w:sz w:val="24"/>
          <w:szCs w:val="24"/>
        </w:rPr>
        <w:t>in materia di appalti e concessioni</w:t>
      </w:r>
      <w:r w:rsidRPr="00B7630C">
        <w:rPr>
          <w:rFonts w:ascii="Times New Roman" w:hAnsi="Times New Roman"/>
          <w:sz w:val="24"/>
          <w:szCs w:val="24"/>
        </w:rPr>
        <w:t>, nonché di</w:t>
      </w:r>
      <w:r w:rsidRPr="00CD4C42">
        <w:rPr>
          <w:rFonts w:ascii="Times New Roman" w:hAnsi="Times New Roman"/>
          <w:b/>
          <w:sz w:val="24"/>
          <w:szCs w:val="24"/>
        </w:rPr>
        <w:t xml:space="preserve"> stabilità e certezza dello stesso, </w:t>
      </w:r>
      <w:r w:rsidRPr="00CD4C42">
        <w:rPr>
          <w:rFonts w:ascii="Times New Roman" w:hAnsi="Times New Roman"/>
          <w:sz w:val="24"/>
          <w:szCs w:val="24"/>
        </w:rPr>
        <w:t xml:space="preserve">da coniugare con </w:t>
      </w:r>
      <w:r w:rsidR="00CA7A76" w:rsidRPr="00CD4C42">
        <w:rPr>
          <w:rFonts w:ascii="Times New Roman" w:hAnsi="Times New Roman"/>
          <w:sz w:val="24"/>
          <w:szCs w:val="24"/>
        </w:rPr>
        <w:t xml:space="preserve">una </w:t>
      </w:r>
      <w:r w:rsidR="00CA7A76" w:rsidRPr="00CD4C42">
        <w:rPr>
          <w:rFonts w:ascii="Times New Roman" w:hAnsi="Times New Roman"/>
          <w:b/>
          <w:sz w:val="24"/>
          <w:szCs w:val="24"/>
        </w:rPr>
        <w:t>più attenta vigilanza sulla correttezza e sulla tras</w:t>
      </w:r>
      <w:r>
        <w:rPr>
          <w:rFonts w:ascii="Times New Roman" w:hAnsi="Times New Roman"/>
          <w:b/>
          <w:sz w:val="24"/>
          <w:szCs w:val="24"/>
        </w:rPr>
        <w:t xml:space="preserve">parenza delle procedure di gara, </w:t>
      </w:r>
      <w:r w:rsidR="00CA7A76" w:rsidRPr="00CD4C42">
        <w:rPr>
          <w:rFonts w:ascii="Times New Roman" w:hAnsi="Times New Roman"/>
          <w:b/>
          <w:sz w:val="24"/>
          <w:szCs w:val="24"/>
        </w:rPr>
        <w:t>evitando il ricorso a sistemi derogatori</w:t>
      </w:r>
      <w:r>
        <w:rPr>
          <w:rFonts w:ascii="Times New Roman" w:hAnsi="Times New Roman"/>
          <w:b/>
          <w:sz w:val="24"/>
          <w:szCs w:val="24"/>
        </w:rPr>
        <w:t>;</w:t>
      </w:r>
    </w:p>
    <w:p w:rsidR="00CD4C42" w:rsidRPr="00CD4C42" w:rsidRDefault="00CD4C42" w:rsidP="00EC05D8">
      <w:pPr>
        <w:pStyle w:val="Paragrafoelenco"/>
        <w:numPr>
          <w:ilvl w:val="0"/>
          <w:numId w:val="14"/>
        </w:numPr>
        <w:spacing w:after="100" w:line="300" w:lineRule="atLeast"/>
        <w:contextualSpacing w:val="0"/>
        <w:jc w:val="both"/>
        <w:rPr>
          <w:rFonts w:ascii="Times New Roman" w:hAnsi="Times New Roman"/>
          <w:sz w:val="24"/>
          <w:szCs w:val="24"/>
        </w:rPr>
      </w:pPr>
      <w:r w:rsidRPr="00CD4C42">
        <w:rPr>
          <w:rFonts w:ascii="Times New Roman" w:hAnsi="Times New Roman"/>
          <w:sz w:val="24"/>
          <w:szCs w:val="24"/>
        </w:rPr>
        <w:t>il connesso</w:t>
      </w:r>
      <w:r>
        <w:rPr>
          <w:rFonts w:ascii="Times New Roman" w:hAnsi="Times New Roman"/>
          <w:b/>
          <w:sz w:val="24"/>
          <w:szCs w:val="24"/>
        </w:rPr>
        <w:t xml:space="preserve"> divieto di</w:t>
      </w:r>
      <w:r w:rsidRPr="00986275">
        <w:rPr>
          <w:rFonts w:ascii="Times New Roman" w:hAnsi="Times New Roman"/>
          <w:b/>
          <w:sz w:val="24"/>
          <w:szCs w:val="24"/>
        </w:rPr>
        <w:t xml:space="preserve"> introdurre o mantenere, in sede di recepimento, livelli di regolazione superiori a quelli minimi richiesti dalla disciplina europea</w:t>
      </w:r>
      <w:r>
        <w:rPr>
          <w:rFonts w:ascii="Times New Roman" w:hAnsi="Times New Roman"/>
          <w:b/>
          <w:sz w:val="24"/>
          <w:szCs w:val="24"/>
        </w:rPr>
        <w:t xml:space="preserve"> </w:t>
      </w:r>
      <w:r w:rsidRPr="00CD4C42">
        <w:rPr>
          <w:rFonts w:ascii="Times New Roman" w:hAnsi="Times New Roman"/>
          <w:sz w:val="24"/>
          <w:szCs w:val="24"/>
        </w:rPr>
        <w:t>(cd. goldplating);</w:t>
      </w:r>
    </w:p>
    <w:p w:rsidR="00CD4C42" w:rsidRPr="00CD4C42" w:rsidRDefault="00CD4C42" w:rsidP="00EC05D8">
      <w:pPr>
        <w:pStyle w:val="Paragrafoelenco"/>
        <w:numPr>
          <w:ilvl w:val="0"/>
          <w:numId w:val="14"/>
        </w:numPr>
        <w:spacing w:after="100" w:line="300" w:lineRule="atLeast"/>
        <w:contextualSpacing w:val="0"/>
        <w:jc w:val="both"/>
        <w:rPr>
          <w:rFonts w:ascii="Times New Roman" w:hAnsi="Times New Roman"/>
          <w:sz w:val="24"/>
          <w:szCs w:val="24"/>
        </w:rPr>
      </w:pPr>
      <w:r>
        <w:rPr>
          <w:rFonts w:ascii="Times New Roman" w:hAnsi="Times New Roman"/>
          <w:b/>
          <w:sz w:val="24"/>
          <w:szCs w:val="24"/>
        </w:rPr>
        <w:t xml:space="preserve">la </w:t>
      </w:r>
      <w:r w:rsidRPr="00986275">
        <w:rPr>
          <w:rFonts w:ascii="Times New Roman" w:hAnsi="Times New Roman"/>
          <w:b/>
          <w:sz w:val="24"/>
          <w:szCs w:val="24"/>
        </w:rPr>
        <w:t>razionalizzazione delle procedure di spesa</w:t>
      </w:r>
      <w:r>
        <w:rPr>
          <w:rFonts w:ascii="Times New Roman" w:hAnsi="Times New Roman"/>
          <w:b/>
          <w:sz w:val="24"/>
          <w:szCs w:val="24"/>
        </w:rPr>
        <w:t>, secondo criteri di qualità, efficienza, centralizzazione e “p</w:t>
      </w:r>
      <w:r w:rsidRPr="00396B05">
        <w:rPr>
          <w:rFonts w:ascii="Times New Roman" w:hAnsi="Times New Roman"/>
          <w:b/>
          <w:sz w:val="24"/>
          <w:szCs w:val="24"/>
        </w:rPr>
        <w:t>rofessionalizzazione</w:t>
      </w:r>
      <w:r>
        <w:rPr>
          <w:rFonts w:ascii="Times New Roman" w:hAnsi="Times New Roman"/>
          <w:b/>
          <w:sz w:val="24"/>
          <w:szCs w:val="24"/>
        </w:rPr>
        <w:t>”</w:t>
      </w:r>
      <w:r>
        <w:rPr>
          <w:rFonts w:ascii="Times New Roman" w:hAnsi="Times New Roman"/>
          <w:sz w:val="24"/>
          <w:szCs w:val="24"/>
        </w:rPr>
        <w:t xml:space="preserve"> delle stazioni appaltanti</w:t>
      </w:r>
      <w:r w:rsidRPr="00CD4C42">
        <w:rPr>
          <w:rFonts w:ascii="Times New Roman" w:hAnsi="Times New Roman"/>
          <w:sz w:val="24"/>
          <w:szCs w:val="24"/>
        </w:rPr>
        <w:t>;</w:t>
      </w:r>
      <w:r>
        <w:rPr>
          <w:rFonts w:ascii="Times New Roman" w:hAnsi="Times New Roman"/>
          <w:b/>
          <w:sz w:val="24"/>
          <w:szCs w:val="24"/>
        </w:rPr>
        <w:t xml:space="preserve"> </w:t>
      </w:r>
    </w:p>
    <w:p w:rsidR="00CD4C42" w:rsidRPr="00CD4C42" w:rsidRDefault="00CD4C42" w:rsidP="00EC05D8">
      <w:pPr>
        <w:pStyle w:val="Paragrafoelenco"/>
        <w:numPr>
          <w:ilvl w:val="0"/>
          <w:numId w:val="14"/>
        </w:numPr>
        <w:spacing w:after="100" w:line="300" w:lineRule="atLeast"/>
        <w:contextualSpacing w:val="0"/>
        <w:jc w:val="both"/>
        <w:rPr>
          <w:rFonts w:ascii="Times New Roman" w:hAnsi="Times New Roman"/>
          <w:sz w:val="24"/>
          <w:szCs w:val="24"/>
        </w:rPr>
      </w:pPr>
      <w:r>
        <w:rPr>
          <w:rFonts w:ascii="Times New Roman" w:hAnsi="Times New Roman"/>
          <w:b/>
          <w:spacing w:val="-2"/>
          <w:sz w:val="24"/>
          <w:szCs w:val="24"/>
        </w:rPr>
        <w:t>la r</w:t>
      </w:r>
      <w:r w:rsidRPr="00986275">
        <w:rPr>
          <w:rFonts w:ascii="Times New Roman" w:hAnsi="Times New Roman"/>
          <w:b/>
          <w:spacing w:val="-2"/>
          <w:sz w:val="24"/>
          <w:szCs w:val="24"/>
        </w:rPr>
        <w:t xml:space="preserve">evisione del vigente sistema di qualificazione degli operatori economici </w:t>
      </w:r>
      <w:r w:rsidRPr="00CD4C42">
        <w:rPr>
          <w:rFonts w:ascii="Times New Roman" w:hAnsi="Times New Roman"/>
          <w:spacing w:val="-2"/>
          <w:sz w:val="24"/>
          <w:szCs w:val="24"/>
        </w:rPr>
        <w:t>introducendo</w:t>
      </w:r>
      <w:r w:rsidRPr="00986275">
        <w:rPr>
          <w:rFonts w:ascii="Times New Roman" w:hAnsi="Times New Roman"/>
          <w:b/>
          <w:spacing w:val="-2"/>
          <w:sz w:val="24"/>
          <w:szCs w:val="24"/>
        </w:rPr>
        <w:t xml:space="preserve"> misure di premialità connesse a criteri “</w:t>
      </w:r>
      <w:r w:rsidRPr="00396B05">
        <w:rPr>
          <w:rFonts w:ascii="Times New Roman" w:hAnsi="Times New Roman"/>
          <w:b/>
          <w:i/>
          <w:spacing w:val="-2"/>
          <w:sz w:val="24"/>
          <w:szCs w:val="24"/>
        </w:rPr>
        <w:t>reputazionali</w:t>
      </w:r>
      <w:r w:rsidRPr="00986275">
        <w:rPr>
          <w:rFonts w:ascii="Times New Roman" w:hAnsi="Times New Roman"/>
          <w:b/>
          <w:spacing w:val="-2"/>
          <w:sz w:val="24"/>
          <w:szCs w:val="24"/>
        </w:rPr>
        <w:t>”</w:t>
      </w:r>
      <w:r>
        <w:rPr>
          <w:rFonts w:ascii="Times New Roman" w:hAnsi="Times New Roman"/>
          <w:b/>
          <w:spacing w:val="-2"/>
          <w:sz w:val="24"/>
          <w:szCs w:val="24"/>
        </w:rPr>
        <w:t xml:space="preserve"> </w:t>
      </w:r>
      <w:r w:rsidRPr="00B7630C">
        <w:rPr>
          <w:rFonts w:ascii="Times New Roman" w:hAnsi="Times New Roman"/>
          <w:spacing w:val="-2"/>
          <w:sz w:val="24"/>
          <w:szCs w:val="24"/>
        </w:rPr>
        <w:t>unitamente all’adozion</w:t>
      </w:r>
      <w:r w:rsidRPr="00986275">
        <w:rPr>
          <w:rFonts w:ascii="Times New Roman" w:hAnsi="Times New Roman"/>
          <w:spacing w:val="-2"/>
          <w:sz w:val="24"/>
          <w:szCs w:val="24"/>
        </w:rPr>
        <w:t xml:space="preserve">e di </w:t>
      </w:r>
      <w:r w:rsidRPr="00986275">
        <w:rPr>
          <w:rFonts w:ascii="Times New Roman" w:hAnsi="Times New Roman"/>
          <w:sz w:val="24"/>
          <w:szCs w:val="24"/>
        </w:rPr>
        <w:t xml:space="preserve">misure tese ad una maggiore </w:t>
      </w:r>
      <w:r w:rsidRPr="00986275">
        <w:rPr>
          <w:rFonts w:ascii="Times New Roman" w:hAnsi="Times New Roman"/>
          <w:b/>
          <w:sz w:val="24"/>
          <w:szCs w:val="24"/>
        </w:rPr>
        <w:t>responsabilizzazione delle imprese in fase esecutiva</w:t>
      </w:r>
      <w:r>
        <w:rPr>
          <w:rFonts w:ascii="Times New Roman" w:hAnsi="Times New Roman"/>
          <w:sz w:val="24"/>
          <w:szCs w:val="24"/>
        </w:rPr>
        <w:t>;</w:t>
      </w:r>
    </w:p>
    <w:p w:rsidR="00CD4C42" w:rsidRPr="00CD4C42" w:rsidRDefault="00CD4C42" w:rsidP="00EC05D8">
      <w:pPr>
        <w:pStyle w:val="Paragrafoelenco"/>
        <w:numPr>
          <w:ilvl w:val="0"/>
          <w:numId w:val="14"/>
        </w:numPr>
        <w:spacing w:after="100" w:line="300" w:lineRule="atLeast"/>
        <w:contextualSpacing w:val="0"/>
        <w:jc w:val="both"/>
        <w:rPr>
          <w:rFonts w:ascii="Times New Roman" w:hAnsi="Times New Roman"/>
          <w:sz w:val="24"/>
          <w:szCs w:val="24"/>
        </w:rPr>
      </w:pPr>
      <w:r>
        <w:rPr>
          <w:rFonts w:ascii="Times New Roman" w:hAnsi="Times New Roman"/>
          <w:b/>
          <w:sz w:val="24"/>
          <w:szCs w:val="24"/>
        </w:rPr>
        <w:t>la ri</w:t>
      </w:r>
      <w:r w:rsidRPr="00986275">
        <w:rPr>
          <w:rFonts w:ascii="Times New Roman" w:hAnsi="Times New Roman"/>
          <w:b/>
          <w:sz w:val="24"/>
          <w:szCs w:val="24"/>
        </w:rPr>
        <w:t xml:space="preserve">duzione degli oneri documentali </w:t>
      </w:r>
      <w:r>
        <w:rPr>
          <w:rFonts w:ascii="Times New Roman" w:hAnsi="Times New Roman"/>
          <w:b/>
          <w:sz w:val="24"/>
          <w:szCs w:val="24"/>
        </w:rPr>
        <w:t xml:space="preserve">per le </w:t>
      </w:r>
      <w:r w:rsidRPr="00986275">
        <w:rPr>
          <w:rFonts w:ascii="Times New Roman" w:hAnsi="Times New Roman"/>
          <w:b/>
          <w:sz w:val="24"/>
          <w:szCs w:val="24"/>
        </w:rPr>
        <w:t>imprese e</w:t>
      </w:r>
      <w:r>
        <w:rPr>
          <w:rFonts w:ascii="Times New Roman" w:hAnsi="Times New Roman"/>
          <w:b/>
          <w:sz w:val="24"/>
          <w:szCs w:val="24"/>
        </w:rPr>
        <w:t xml:space="preserve"> la</w:t>
      </w:r>
      <w:r w:rsidRPr="00986275">
        <w:rPr>
          <w:rFonts w:ascii="Times New Roman" w:hAnsi="Times New Roman"/>
          <w:b/>
          <w:sz w:val="24"/>
          <w:szCs w:val="24"/>
        </w:rPr>
        <w:t xml:space="preserve"> semplificazione dei controlli</w:t>
      </w:r>
      <w:r>
        <w:rPr>
          <w:rFonts w:ascii="Times New Roman" w:hAnsi="Times New Roman"/>
          <w:b/>
          <w:sz w:val="24"/>
          <w:szCs w:val="24"/>
        </w:rPr>
        <w:t xml:space="preserve"> </w:t>
      </w:r>
      <w:r w:rsidRPr="00CD4C42">
        <w:rPr>
          <w:rFonts w:ascii="Times New Roman" w:hAnsi="Times New Roman"/>
          <w:sz w:val="24"/>
          <w:szCs w:val="24"/>
        </w:rPr>
        <w:t>da parte delle stazioni appaltanti;</w:t>
      </w:r>
    </w:p>
    <w:p w:rsidR="00CD4C42" w:rsidRPr="00B7630C" w:rsidRDefault="00B7630C" w:rsidP="00EC05D8">
      <w:pPr>
        <w:pStyle w:val="Paragrafoelenco"/>
        <w:numPr>
          <w:ilvl w:val="0"/>
          <w:numId w:val="14"/>
        </w:numPr>
        <w:spacing w:after="100" w:line="300" w:lineRule="atLeast"/>
        <w:contextualSpacing w:val="0"/>
        <w:jc w:val="both"/>
        <w:rPr>
          <w:rFonts w:ascii="Times New Roman" w:hAnsi="Times New Roman"/>
          <w:sz w:val="24"/>
          <w:szCs w:val="24"/>
        </w:rPr>
      </w:pPr>
      <w:r>
        <w:rPr>
          <w:rFonts w:ascii="Times New Roman" w:hAnsi="Times New Roman"/>
          <w:b/>
          <w:sz w:val="24"/>
          <w:szCs w:val="24"/>
        </w:rPr>
        <w:t>la r</w:t>
      </w:r>
      <w:r w:rsidR="00CD4C42" w:rsidRPr="00986275">
        <w:rPr>
          <w:rFonts w:ascii="Times New Roman" w:hAnsi="Times New Roman"/>
          <w:b/>
          <w:sz w:val="24"/>
          <w:szCs w:val="24"/>
        </w:rPr>
        <w:t xml:space="preserve">azionalizzazione dei metodi alternativi di risoluzione delle controversie, </w:t>
      </w:r>
      <w:r w:rsidR="00CD4C42" w:rsidRPr="00B7630C">
        <w:rPr>
          <w:rFonts w:ascii="Times New Roman" w:hAnsi="Times New Roman"/>
          <w:sz w:val="24"/>
          <w:szCs w:val="24"/>
        </w:rPr>
        <w:t>anche in materia di esecuzione del contratto</w:t>
      </w:r>
      <w:r>
        <w:rPr>
          <w:rFonts w:ascii="Times New Roman" w:hAnsi="Times New Roman"/>
          <w:sz w:val="24"/>
          <w:szCs w:val="24"/>
        </w:rPr>
        <w:t>;</w:t>
      </w:r>
    </w:p>
    <w:p w:rsidR="00CD4C42" w:rsidRPr="00B7630C" w:rsidRDefault="00B7630C" w:rsidP="00EC05D8">
      <w:pPr>
        <w:pStyle w:val="Paragrafoelenco"/>
        <w:numPr>
          <w:ilvl w:val="0"/>
          <w:numId w:val="14"/>
        </w:numPr>
        <w:spacing w:after="100" w:line="300" w:lineRule="atLeast"/>
        <w:contextualSpacing w:val="0"/>
        <w:jc w:val="both"/>
        <w:rPr>
          <w:rFonts w:ascii="Times New Roman" w:hAnsi="Times New Roman"/>
          <w:sz w:val="24"/>
          <w:szCs w:val="24"/>
        </w:rPr>
      </w:pPr>
      <w:r>
        <w:rPr>
          <w:rFonts w:ascii="Times New Roman" w:hAnsi="Times New Roman"/>
          <w:b/>
          <w:sz w:val="24"/>
          <w:szCs w:val="24"/>
        </w:rPr>
        <w:t>la p</w:t>
      </w:r>
      <w:r w:rsidR="00CD4C42" w:rsidRPr="00986275">
        <w:rPr>
          <w:rFonts w:ascii="Times New Roman" w:hAnsi="Times New Roman"/>
          <w:b/>
          <w:sz w:val="24"/>
          <w:szCs w:val="24"/>
        </w:rPr>
        <w:t>romozione di soluzioni innovative per le infrastrutture strategiche</w:t>
      </w:r>
      <w:r w:rsidRPr="00B7630C">
        <w:rPr>
          <w:rFonts w:ascii="Times New Roman" w:hAnsi="Times New Roman"/>
          <w:sz w:val="24"/>
          <w:szCs w:val="24"/>
        </w:rPr>
        <w:t>, insieme alla</w:t>
      </w:r>
      <w:r>
        <w:rPr>
          <w:rFonts w:ascii="Times New Roman" w:hAnsi="Times New Roman"/>
          <w:b/>
          <w:sz w:val="24"/>
          <w:szCs w:val="24"/>
        </w:rPr>
        <w:t xml:space="preserve">  </w:t>
      </w:r>
      <w:r w:rsidR="00CD4C42" w:rsidRPr="00B7630C">
        <w:rPr>
          <w:rFonts w:ascii="Times New Roman" w:hAnsi="Times New Roman"/>
          <w:b/>
          <w:sz w:val="24"/>
          <w:szCs w:val="24"/>
        </w:rPr>
        <w:t xml:space="preserve">razionalizzazione ed estensione delle forme di PPP, </w:t>
      </w:r>
      <w:r w:rsidR="00CD4C42" w:rsidRPr="00B7630C">
        <w:rPr>
          <w:rFonts w:ascii="Times New Roman" w:hAnsi="Times New Roman"/>
          <w:sz w:val="24"/>
          <w:szCs w:val="24"/>
        </w:rPr>
        <w:t>incentivandone l’utilizzo anche attraverso</w:t>
      </w:r>
      <w:r w:rsidR="00CD4C42" w:rsidRPr="00B7630C">
        <w:rPr>
          <w:rFonts w:ascii="Times New Roman" w:hAnsi="Times New Roman"/>
          <w:b/>
          <w:sz w:val="24"/>
          <w:szCs w:val="24"/>
        </w:rPr>
        <w:t xml:space="preserve"> strumenti di carattere finanziario innovativi</w:t>
      </w:r>
      <w:r>
        <w:rPr>
          <w:rFonts w:ascii="Times New Roman" w:hAnsi="Times New Roman"/>
          <w:b/>
          <w:sz w:val="24"/>
          <w:szCs w:val="24"/>
        </w:rPr>
        <w:t>.</w:t>
      </w:r>
    </w:p>
    <w:p w:rsidR="00B7630C" w:rsidRPr="00B7630C" w:rsidRDefault="00B7630C" w:rsidP="00B7630C">
      <w:pPr>
        <w:spacing w:after="100" w:line="300" w:lineRule="atLeast"/>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B7630C">
        <w:rPr>
          <w:rFonts w:ascii="Times New Roman" w:hAnsi="Times New Roman" w:cs="Times New Roman"/>
          <w:b/>
          <w:sz w:val="24"/>
          <w:szCs w:val="24"/>
        </w:rPr>
        <w:t>Considerazioni specifiche su alcuni principi cardine e spunti di riflessione</w:t>
      </w:r>
    </w:p>
    <w:p w:rsidR="00B7630C" w:rsidRPr="00986275" w:rsidRDefault="00B7630C" w:rsidP="00EC05D8">
      <w:pPr>
        <w:pStyle w:val="Paragrafoelenco"/>
        <w:numPr>
          <w:ilvl w:val="0"/>
          <w:numId w:val="5"/>
        </w:numPr>
        <w:spacing w:after="100" w:line="300" w:lineRule="atLeast"/>
        <w:contextualSpacing w:val="0"/>
        <w:jc w:val="both"/>
        <w:rPr>
          <w:rFonts w:ascii="Times New Roman" w:hAnsi="Times New Roman"/>
          <w:sz w:val="24"/>
          <w:szCs w:val="24"/>
        </w:rPr>
      </w:pPr>
      <w:r>
        <w:rPr>
          <w:rFonts w:ascii="Times New Roman" w:hAnsi="Times New Roman"/>
          <w:sz w:val="24"/>
          <w:szCs w:val="24"/>
        </w:rPr>
        <w:t xml:space="preserve">Tanto premesso da un punto di vista generale, in questa sede mi limiterò a formulare </w:t>
      </w:r>
      <w:r w:rsidRPr="00986275">
        <w:rPr>
          <w:rFonts w:ascii="Times New Roman" w:hAnsi="Times New Roman"/>
          <w:sz w:val="24"/>
          <w:szCs w:val="24"/>
        </w:rPr>
        <w:t xml:space="preserve">alcune considerazioni </w:t>
      </w:r>
      <w:r>
        <w:rPr>
          <w:rFonts w:ascii="Times New Roman" w:hAnsi="Times New Roman"/>
          <w:sz w:val="24"/>
          <w:szCs w:val="24"/>
        </w:rPr>
        <w:t xml:space="preserve">su alcuni temi specifici, </w:t>
      </w:r>
      <w:r w:rsidRPr="00986275">
        <w:rPr>
          <w:rFonts w:ascii="Times New Roman" w:hAnsi="Times New Roman"/>
          <w:sz w:val="24"/>
          <w:szCs w:val="24"/>
        </w:rPr>
        <w:t xml:space="preserve">anche alla luce dell’esperienza maturata da ANAS, auspicando di poter offrire spunti utili per le valutazioni che la Commissione dovrà assumere. </w:t>
      </w:r>
    </w:p>
    <w:p w:rsidR="00B7630C" w:rsidRPr="00B7630C" w:rsidRDefault="00B7630C" w:rsidP="00B7630C">
      <w:pPr>
        <w:pStyle w:val="Paragrafoelenco"/>
        <w:spacing w:after="100" w:line="300" w:lineRule="atLeast"/>
        <w:ind w:left="1068"/>
        <w:contextualSpacing w:val="0"/>
        <w:jc w:val="both"/>
        <w:rPr>
          <w:rFonts w:ascii="Times New Roman" w:hAnsi="Times New Roman"/>
          <w:sz w:val="24"/>
          <w:szCs w:val="24"/>
        </w:rPr>
      </w:pPr>
    </w:p>
    <w:p w:rsidR="00B7630C" w:rsidRPr="00B7630C" w:rsidRDefault="00B7630C" w:rsidP="00EC05D8">
      <w:pPr>
        <w:pStyle w:val="Paragrafoelenco"/>
        <w:numPr>
          <w:ilvl w:val="0"/>
          <w:numId w:val="15"/>
        </w:numPr>
        <w:spacing w:after="100" w:line="300" w:lineRule="atLeast"/>
        <w:ind w:left="357" w:hanging="357"/>
        <w:contextualSpacing w:val="0"/>
        <w:jc w:val="both"/>
        <w:rPr>
          <w:rFonts w:ascii="Times New Roman" w:hAnsi="Times New Roman"/>
          <w:b/>
          <w:sz w:val="24"/>
          <w:szCs w:val="24"/>
        </w:rPr>
      </w:pPr>
      <w:r w:rsidRPr="00B7630C">
        <w:rPr>
          <w:rFonts w:ascii="Times New Roman" w:hAnsi="Times New Roman"/>
          <w:b/>
          <w:sz w:val="24"/>
          <w:szCs w:val="24"/>
        </w:rPr>
        <w:t>esigenza di semplificazione e razionalizzazione del quadro normativo e procedurale in materia di appalti e concessioni, nonché di stabilità e certezza dello stesso, da coniugare con una più attenta vigilanza sulla correttezza e sulla trasparenza delle procedure di gara, evitando il ricorso a sistemi derogatori</w:t>
      </w:r>
    </w:p>
    <w:p w:rsidR="00EF2588" w:rsidRPr="00A63B71" w:rsidRDefault="00B7630C" w:rsidP="00EC05D8">
      <w:pPr>
        <w:pStyle w:val="Paragrafoelenco"/>
        <w:numPr>
          <w:ilvl w:val="0"/>
          <w:numId w:val="5"/>
        </w:numPr>
        <w:spacing w:after="100" w:line="300" w:lineRule="atLeast"/>
        <w:ind w:left="357" w:hanging="357"/>
        <w:contextualSpacing w:val="0"/>
        <w:jc w:val="both"/>
        <w:rPr>
          <w:rFonts w:ascii="Times New Roman" w:hAnsi="Times New Roman"/>
          <w:sz w:val="24"/>
          <w:szCs w:val="24"/>
        </w:rPr>
      </w:pPr>
      <w:r>
        <w:rPr>
          <w:rFonts w:ascii="Times New Roman" w:hAnsi="Times New Roman"/>
          <w:sz w:val="24"/>
          <w:szCs w:val="24"/>
        </w:rPr>
        <w:t>Si tratta di un’esigenza fortemente sentita sia dalle stazioni appaltanti che dalle imprese, posto che l</w:t>
      </w:r>
      <w:r w:rsidR="00B436D6" w:rsidRPr="00986275">
        <w:rPr>
          <w:rFonts w:ascii="Times New Roman" w:hAnsi="Times New Roman"/>
          <w:sz w:val="24"/>
          <w:szCs w:val="24"/>
        </w:rPr>
        <w:t>a normativa in mater</w:t>
      </w:r>
      <w:r>
        <w:rPr>
          <w:rFonts w:ascii="Times New Roman" w:hAnsi="Times New Roman"/>
          <w:sz w:val="24"/>
          <w:szCs w:val="24"/>
        </w:rPr>
        <w:t xml:space="preserve">ia di appalti pubblici risulta </w:t>
      </w:r>
      <w:r w:rsidR="00B436D6" w:rsidRPr="00986275">
        <w:rPr>
          <w:rFonts w:ascii="Times New Roman" w:hAnsi="Times New Roman"/>
          <w:sz w:val="24"/>
          <w:szCs w:val="24"/>
        </w:rPr>
        <w:t xml:space="preserve">caratterizzata da un numero eccessivo e non organico di disposizioni, spesso dal contenuto poco chiaro, fonte di difficoltà interpretative e rallentamenti dell’attività delle amministrazioni aggiudicatrici, oltre che </w:t>
      </w:r>
      <w:r w:rsidR="00B436D6" w:rsidRPr="00B7630C">
        <w:rPr>
          <w:rFonts w:ascii="Times New Roman" w:hAnsi="Times New Roman"/>
          <w:b/>
          <w:sz w:val="24"/>
          <w:szCs w:val="24"/>
        </w:rPr>
        <w:t>di frequenti contenziosi con le imprese.</w:t>
      </w:r>
      <w:r w:rsidR="00B436D6" w:rsidRPr="00986275">
        <w:rPr>
          <w:rFonts w:ascii="Times New Roman" w:hAnsi="Times New Roman"/>
          <w:sz w:val="24"/>
          <w:szCs w:val="24"/>
        </w:rPr>
        <w:t xml:space="preserve"> Basti pensare che, </w:t>
      </w:r>
      <w:r w:rsidR="00B436D6" w:rsidRPr="00986275">
        <w:rPr>
          <w:rFonts w:ascii="Times New Roman" w:hAnsi="Times New Roman"/>
          <w:sz w:val="24"/>
          <w:szCs w:val="24"/>
          <w:u w:val="single"/>
        </w:rPr>
        <w:t>a fronte degli 84 articoli di cui era composta la precedente Direttiva 2004/18, il nostro Paese ne aveva scritti ben 616, senza contare le norme in materia di appalti contenute in altri provvedimenti</w:t>
      </w:r>
      <w:r w:rsidR="00B436D6" w:rsidRPr="00986275">
        <w:rPr>
          <w:rStyle w:val="Rimandonotaapidipagina"/>
          <w:rFonts w:ascii="Times New Roman" w:hAnsi="Times New Roman"/>
          <w:sz w:val="24"/>
          <w:szCs w:val="24"/>
          <w:u w:val="single"/>
        </w:rPr>
        <w:footnoteReference w:id="1"/>
      </w:r>
      <w:r w:rsidR="00B436D6" w:rsidRPr="00986275">
        <w:rPr>
          <w:rFonts w:ascii="Times New Roman" w:hAnsi="Times New Roman"/>
          <w:sz w:val="24"/>
          <w:szCs w:val="24"/>
          <w:u w:val="single"/>
        </w:rPr>
        <w:t xml:space="preserve">. </w:t>
      </w:r>
    </w:p>
    <w:p w:rsidR="00A63B71" w:rsidRPr="00986275" w:rsidRDefault="00A63B71" w:rsidP="00EC05D8">
      <w:pPr>
        <w:pStyle w:val="Paragrafoelenco"/>
        <w:numPr>
          <w:ilvl w:val="0"/>
          <w:numId w:val="5"/>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Il fenomeno dell’</w:t>
      </w:r>
      <w:r w:rsidRPr="00986275">
        <w:rPr>
          <w:rFonts w:ascii="Times New Roman" w:hAnsi="Times New Roman"/>
          <w:i/>
          <w:sz w:val="24"/>
          <w:szCs w:val="24"/>
        </w:rPr>
        <w:t>overdesign</w:t>
      </w:r>
      <w:r w:rsidRPr="00986275">
        <w:rPr>
          <w:rFonts w:ascii="Times New Roman" w:hAnsi="Times New Roman"/>
          <w:sz w:val="24"/>
          <w:szCs w:val="24"/>
        </w:rPr>
        <w:t xml:space="preserve"> assume una speciale connotazione per quanto riguarda </w:t>
      </w:r>
      <w:r w:rsidRPr="00986275">
        <w:rPr>
          <w:rFonts w:ascii="Times New Roman" w:hAnsi="Times New Roman"/>
          <w:b/>
          <w:sz w:val="24"/>
          <w:szCs w:val="24"/>
        </w:rPr>
        <w:t>il proliferare delle</w:t>
      </w:r>
      <w:r w:rsidRPr="00986275">
        <w:rPr>
          <w:rFonts w:ascii="Times New Roman" w:hAnsi="Times New Roman"/>
          <w:sz w:val="24"/>
          <w:szCs w:val="24"/>
        </w:rPr>
        <w:t xml:space="preserve"> </w:t>
      </w:r>
      <w:r w:rsidRPr="00986275">
        <w:rPr>
          <w:rFonts w:ascii="Times New Roman" w:hAnsi="Times New Roman"/>
          <w:b/>
          <w:sz w:val="24"/>
          <w:szCs w:val="24"/>
        </w:rPr>
        <w:t>normative tecniche per la realizzazione di opere pubbliche e segnatamente stradali</w:t>
      </w:r>
      <w:r w:rsidRPr="00986275">
        <w:rPr>
          <w:rFonts w:ascii="Times New Roman" w:hAnsi="Times New Roman"/>
          <w:sz w:val="24"/>
          <w:szCs w:val="24"/>
        </w:rPr>
        <w:t>, che nell’ultimo decennio hanno comportato un incremento del costo degli interventi quantificabile intorno al 20- 30%</w:t>
      </w:r>
    </w:p>
    <w:p w:rsidR="00B7630C" w:rsidRPr="00B7630C" w:rsidRDefault="00B436D6" w:rsidP="00EC05D8">
      <w:pPr>
        <w:pStyle w:val="Paragrafoelenco"/>
        <w:numPr>
          <w:ilvl w:val="0"/>
          <w:numId w:val="5"/>
        </w:numPr>
        <w:spacing w:after="100" w:line="300" w:lineRule="atLeast"/>
        <w:contextualSpacing w:val="0"/>
        <w:jc w:val="both"/>
        <w:rPr>
          <w:rFonts w:ascii="Times New Roman" w:hAnsi="Times New Roman"/>
          <w:sz w:val="24"/>
          <w:szCs w:val="24"/>
          <w:u w:val="single"/>
        </w:rPr>
      </w:pPr>
      <w:r w:rsidRPr="00986275">
        <w:rPr>
          <w:rFonts w:ascii="Times New Roman" w:hAnsi="Times New Roman"/>
          <w:sz w:val="24"/>
          <w:szCs w:val="24"/>
        </w:rPr>
        <w:t xml:space="preserve">Da qui l’esigenza di adottare </w:t>
      </w:r>
      <w:r w:rsidR="009063D6" w:rsidRPr="00986275">
        <w:rPr>
          <w:rFonts w:ascii="Times New Roman" w:eastAsia="Times New Roman" w:hAnsi="Times New Roman"/>
          <w:b/>
          <w:sz w:val="24"/>
          <w:szCs w:val="24"/>
          <w:lang w:eastAsia="it-IT"/>
        </w:rPr>
        <w:t xml:space="preserve">un corpo normativo </w:t>
      </w:r>
      <w:r w:rsidR="009063D6" w:rsidRPr="00986275">
        <w:rPr>
          <w:rFonts w:ascii="Times New Roman" w:eastAsia="Times New Roman" w:hAnsi="Times New Roman"/>
          <w:b/>
          <w:sz w:val="24"/>
          <w:szCs w:val="24"/>
          <w:u w:val="single"/>
          <w:lang w:eastAsia="it-IT"/>
        </w:rPr>
        <w:t>unico, con un limitato numero di disposizioni semplici e chiare nell’applicazione</w:t>
      </w:r>
      <w:r w:rsidRPr="00986275">
        <w:rPr>
          <w:rFonts w:ascii="Times New Roman" w:eastAsia="Times New Roman" w:hAnsi="Times New Roman"/>
          <w:b/>
          <w:sz w:val="24"/>
          <w:szCs w:val="24"/>
          <w:lang w:eastAsia="it-IT"/>
        </w:rPr>
        <w:t xml:space="preserve">, </w:t>
      </w:r>
      <w:r w:rsidR="00A3288B" w:rsidRPr="00986275">
        <w:rPr>
          <w:rFonts w:ascii="Times New Roman" w:eastAsia="Times New Roman" w:hAnsi="Times New Roman"/>
          <w:b/>
          <w:sz w:val="24"/>
          <w:szCs w:val="24"/>
          <w:lang w:eastAsia="it-IT"/>
        </w:rPr>
        <w:t xml:space="preserve">basato </w:t>
      </w:r>
      <w:r w:rsidR="00A3288B" w:rsidRPr="00A539EC">
        <w:rPr>
          <w:rFonts w:ascii="Times New Roman" w:eastAsia="Times New Roman" w:hAnsi="Times New Roman"/>
          <w:b/>
          <w:sz w:val="24"/>
          <w:szCs w:val="24"/>
          <w:u w:val="single"/>
          <w:lang w:eastAsia="it-IT"/>
        </w:rPr>
        <w:t>sull’individuazione di principi</w:t>
      </w:r>
      <w:r w:rsidR="00A3288B" w:rsidRPr="00986275">
        <w:rPr>
          <w:rFonts w:ascii="Times New Roman" w:eastAsia="Times New Roman" w:hAnsi="Times New Roman"/>
          <w:b/>
          <w:sz w:val="24"/>
          <w:szCs w:val="24"/>
          <w:lang w:eastAsia="it-IT"/>
        </w:rPr>
        <w:t xml:space="preserve"> strettamente aderenti al dato comunitario e </w:t>
      </w:r>
      <w:r w:rsidR="00A3288B" w:rsidRPr="00B7630C">
        <w:rPr>
          <w:rFonts w:ascii="Times New Roman" w:eastAsia="Times New Roman" w:hAnsi="Times New Roman"/>
          <w:b/>
          <w:sz w:val="24"/>
          <w:szCs w:val="24"/>
          <w:u w:val="single"/>
          <w:lang w:eastAsia="it-IT"/>
        </w:rPr>
        <w:t>non più sulla regolamentazione delle singole fattispecie</w:t>
      </w:r>
      <w:r w:rsidRPr="00B7630C">
        <w:rPr>
          <w:rFonts w:ascii="Times New Roman" w:eastAsia="Times New Roman" w:hAnsi="Times New Roman"/>
          <w:sz w:val="24"/>
          <w:szCs w:val="24"/>
          <w:u w:val="single"/>
          <w:lang w:eastAsia="it-IT"/>
        </w:rPr>
        <w:t xml:space="preserve">. </w:t>
      </w:r>
    </w:p>
    <w:p w:rsidR="00EF2588" w:rsidRPr="00986275" w:rsidRDefault="00A63B71" w:rsidP="00EC05D8">
      <w:pPr>
        <w:pStyle w:val="Paragrafoelenco"/>
        <w:numPr>
          <w:ilvl w:val="0"/>
          <w:numId w:val="5"/>
        </w:numPr>
        <w:spacing w:after="100" w:line="300" w:lineRule="atLeast"/>
        <w:contextualSpacing w:val="0"/>
        <w:jc w:val="both"/>
        <w:rPr>
          <w:rFonts w:ascii="Times New Roman" w:hAnsi="Times New Roman"/>
          <w:sz w:val="24"/>
          <w:szCs w:val="24"/>
        </w:rPr>
      </w:pPr>
      <w:r>
        <w:rPr>
          <w:rFonts w:ascii="Times New Roman" w:eastAsia="Times New Roman" w:hAnsi="Times New Roman"/>
          <w:sz w:val="24"/>
          <w:szCs w:val="24"/>
          <w:lang w:eastAsia="it-IT"/>
        </w:rPr>
        <w:t xml:space="preserve">A tal fine </w:t>
      </w:r>
      <w:r w:rsidR="00A3288B" w:rsidRPr="00986275">
        <w:rPr>
          <w:rFonts w:ascii="Times New Roman" w:eastAsia="Times New Roman" w:hAnsi="Times New Roman"/>
          <w:sz w:val="24"/>
          <w:szCs w:val="24"/>
          <w:lang w:eastAsia="it-IT"/>
        </w:rPr>
        <w:t>sarebbe opportuno che</w:t>
      </w:r>
      <w:r w:rsidR="001B77A8" w:rsidRPr="00986275">
        <w:rPr>
          <w:rFonts w:ascii="Times New Roman" w:eastAsia="Times New Roman" w:hAnsi="Times New Roman"/>
          <w:sz w:val="24"/>
          <w:szCs w:val="24"/>
          <w:lang w:eastAsia="it-IT"/>
        </w:rPr>
        <w:t xml:space="preserve"> </w:t>
      </w:r>
      <w:r w:rsidR="00A3288B" w:rsidRPr="00986275">
        <w:rPr>
          <w:rFonts w:ascii="Times New Roman" w:eastAsia="Times New Roman" w:hAnsi="Times New Roman"/>
          <w:b/>
          <w:sz w:val="24"/>
          <w:szCs w:val="24"/>
          <w:lang w:eastAsia="it-IT"/>
        </w:rPr>
        <w:t xml:space="preserve">la nuova disciplina fosse accompagnata dall’adozione di misure di </w:t>
      </w:r>
      <w:r w:rsidR="00A3288B" w:rsidRPr="00986275">
        <w:rPr>
          <w:rFonts w:ascii="Times New Roman" w:eastAsia="Times New Roman" w:hAnsi="Times New Roman"/>
          <w:b/>
          <w:i/>
          <w:sz w:val="24"/>
          <w:szCs w:val="24"/>
          <w:lang w:eastAsia="it-IT"/>
        </w:rPr>
        <w:t>soft law</w:t>
      </w:r>
      <w:r w:rsidR="00A3288B" w:rsidRPr="00986275">
        <w:rPr>
          <w:rFonts w:ascii="Times New Roman" w:eastAsia="Times New Roman" w:hAnsi="Times New Roman"/>
          <w:sz w:val="24"/>
          <w:szCs w:val="24"/>
          <w:lang w:eastAsia="it-IT"/>
        </w:rPr>
        <w:t xml:space="preserve"> (circolari, linee guida, bandi tipo e delibere), idonee ad indirizzare ed uniforma</w:t>
      </w:r>
      <w:r w:rsidR="001B77A8" w:rsidRPr="00986275">
        <w:rPr>
          <w:rFonts w:ascii="Times New Roman" w:eastAsia="Times New Roman" w:hAnsi="Times New Roman"/>
          <w:sz w:val="24"/>
          <w:szCs w:val="24"/>
          <w:lang w:eastAsia="it-IT"/>
        </w:rPr>
        <w:t>re la condotta degli operatori del settore</w:t>
      </w:r>
      <w:r w:rsidR="00A3288B" w:rsidRPr="00986275">
        <w:rPr>
          <w:rFonts w:ascii="Times New Roman" w:eastAsia="Times New Roman" w:hAnsi="Times New Roman"/>
          <w:sz w:val="24"/>
          <w:szCs w:val="24"/>
          <w:lang w:eastAsia="it-IT"/>
        </w:rPr>
        <w:t xml:space="preserve">. In tale quadro un </w:t>
      </w:r>
      <w:r w:rsidR="00A3288B" w:rsidRPr="00986275">
        <w:rPr>
          <w:rFonts w:ascii="Times New Roman" w:eastAsia="Times New Roman" w:hAnsi="Times New Roman"/>
          <w:b/>
          <w:sz w:val="24"/>
          <w:szCs w:val="24"/>
          <w:lang w:eastAsia="it-IT"/>
        </w:rPr>
        <w:t xml:space="preserve">prezioso contributo potrebbe derivare dall’Autorità Nazionale Anticorruzione, </w:t>
      </w:r>
      <w:r w:rsidR="00A3288B" w:rsidRPr="00986275">
        <w:rPr>
          <w:rFonts w:ascii="Times New Roman" w:eastAsia="Times New Roman" w:hAnsi="Times New Roman"/>
          <w:sz w:val="24"/>
          <w:szCs w:val="24"/>
          <w:lang w:eastAsia="it-IT"/>
        </w:rPr>
        <w:t>in considerazione sia dell’esperienza già maturata nel settore</w:t>
      </w:r>
      <w:r w:rsidR="00EF2588" w:rsidRPr="00986275">
        <w:rPr>
          <w:rFonts w:ascii="Times New Roman" w:eastAsia="Times New Roman" w:hAnsi="Times New Roman"/>
          <w:sz w:val="24"/>
          <w:szCs w:val="24"/>
          <w:lang w:eastAsia="it-IT"/>
        </w:rPr>
        <w:t xml:space="preserve"> </w:t>
      </w:r>
      <w:r w:rsidR="00A3288B" w:rsidRPr="00986275">
        <w:rPr>
          <w:rFonts w:ascii="Times New Roman" w:eastAsia="Times New Roman" w:hAnsi="Times New Roman"/>
          <w:sz w:val="24"/>
          <w:szCs w:val="24"/>
          <w:lang w:eastAsia="it-IT"/>
        </w:rPr>
        <w:t>che della posizione di terzietà rivestita.</w:t>
      </w:r>
    </w:p>
    <w:p w:rsidR="009063D6" w:rsidRPr="00986275" w:rsidRDefault="00EF2588" w:rsidP="00EC05D8">
      <w:pPr>
        <w:pStyle w:val="Paragrafoelenco"/>
        <w:numPr>
          <w:ilvl w:val="0"/>
          <w:numId w:val="5"/>
        </w:numPr>
        <w:spacing w:after="100" w:line="300" w:lineRule="atLeast"/>
        <w:contextualSpacing w:val="0"/>
        <w:jc w:val="both"/>
        <w:rPr>
          <w:rFonts w:ascii="Times New Roman" w:hAnsi="Times New Roman"/>
          <w:sz w:val="24"/>
          <w:szCs w:val="24"/>
        </w:rPr>
      </w:pPr>
      <w:r w:rsidRPr="00986275">
        <w:rPr>
          <w:rFonts w:ascii="Times New Roman" w:eastAsia="Times New Roman" w:hAnsi="Times New Roman"/>
          <w:sz w:val="24"/>
          <w:szCs w:val="24"/>
          <w:lang w:eastAsia="it-IT"/>
        </w:rPr>
        <w:t>Nell’elaborare tale corpus normativo, occorrerà, tra l’altro</w:t>
      </w:r>
      <w:r w:rsidR="009063D6" w:rsidRPr="00986275">
        <w:rPr>
          <w:rFonts w:ascii="Times New Roman" w:eastAsia="Times New Roman" w:hAnsi="Times New Roman"/>
          <w:sz w:val="24"/>
          <w:szCs w:val="24"/>
          <w:lang w:eastAsia="it-IT"/>
        </w:rPr>
        <w:t>:</w:t>
      </w:r>
    </w:p>
    <w:p w:rsidR="009063D6" w:rsidRPr="00986275" w:rsidRDefault="006B4CB1" w:rsidP="00EC05D8">
      <w:pPr>
        <w:pStyle w:val="Paragrafoelenco"/>
        <w:numPr>
          <w:ilvl w:val="0"/>
          <w:numId w:val="1"/>
        </w:numPr>
        <w:spacing w:after="100" w:line="300" w:lineRule="atLeast"/>
        <w:ind w:left="567" w:hanging="283"/>
        <w:contextualSpacing w:val="0"/>
        <w:jc w:val="both"/>
        <w:rPr>
          <w:rFonts w:ascii="Times New Roman" w:eastAsia="Times New Roman" w:hAnsi="Times New Roman"/>
          <w:sz w:val="24"/>
          <w:szCs w:val="24"/>
          <w:lang w:eastAsia="it-IT"/>
        </w:rPr>
      </w:pPr>
      <w:r w:rsidRPr="00986275">
        <w:rPr>
          <w:rFonts w:ascii="Times New Roman" w:eastAsia="Times New Roman" w:hAnsi="Times New Roman"/>
          <w:sz w:val="24"/>
          <w:szCs w:val="24"/>
          <w:lang w:eastAsia="it-IT"/>
        </w:rPr>
        <w:t>recepire all’</w:t>
      </w:r>
      <w:r w:rsidR="009063D6" w:rsidRPr="00986275">
        <w:rPr>
          <w:rFonts w:ascii="Times New Roman" w:eastAsia="Times New Roman" w:hAnsi="Times New Roman"/>
          <w:sz w:val="24"/>
          <w:szCs w:val="24"/>
          <w:lang w:eastAsia="it-IT"/>
        </w:rPr>
        <w:t>interno</w:t>
      </w:r>
      <w:r w:rsidRPr="00986275">
        <w:rPr>
          <w:rFonts w:ascii="Times New Roman" w:eastAsia="Times New Roman" w:hAnsi="Times New Roman"/>
          <w:sz w:val="24"/>
          <w:szCs w:val="24"/>
          <w:lang w:eastAsia="it-IT"/>
        </w:rPr>
        <w:t xml:space="preserve"> nel nuovo </w:t>
      </w:r>
      <w:r w:rsidRPr="00986275">
        <w:rPr>
          <w:rFonts w:ascii="Times New Roman" w:eastAsia="Times New Roman" w:hAnsi="Times New Roman"/>
          <w:i/>
          <w:sz w:val="24"/>
          <w:szCs w:val="24"/>
          <w:lang w:eastAsia="it-IT"/>
        </w:rPr>
        <w:t>corpus</w:t>
      </w:r>
      <w:r w:rsidRPr="00986275">
        <w:rPr>
          <w:rFonts w:ascii="Times New Roman" w:eastAsia="Times New Roman" w:hAnsi="Times New Roman"/>
          <w:sz w:val="24"/>
          <w:szCs w:val="24"/>
          <w:lang w:eastAsia="it-IT"/>
        </w:rPr>
        <w:t xml:space="preserve"> normativo</w:t>
      </w:r>
      <w:r w:rsidR="009063D6" w:rsidRPr="00986275">
        <w:rPr>
          <w:rFonts w:ascii="Times New Roman" w:eastAsia="Times New Roman" w:hAnsi="Times New Roman"/>
          <w:sz w:val="24"/>
          <w:szCs w:val="24"/>
          <w:lang w:eastAsia="it-IT"/>
        </w:rPr>
        <w:t xml:space="preserve"> il contenuto di</w:t>
      </w:r>
      <w:r w:rsidR="009063D6" w:rsidRPr="00986275">
        <w:rPr>
          <w:rFonts w:ascii="Times New Roman" w:eastAsia="Times New Roman" w:hAnsi="Times New Roman"/>
          <w:b/>
          <w:sz w:val="24"/>
          <w:szCs w:val="24"/>
          <w:lang w:eastAsia="it-IT"/>
        </w:rPr>
        <w:t xml:space="preserve"> disposizioni </w:t>
      </w:r>
      <w:r w:rsidR="00EF2588" w:rsidRPr="00986275">
        <w:rPr>
          <w:rFonts w:ascii="Times New Roman" w:eastAsia="Times New Roman" w:hAnsi="Times New Roman"/>
          <w:b/>
          <w:sz w:val="24"/>
          <w:szCs w:val="24"/>
          <w:lang w:eastAsia="it-IT"/>
        </w:rPr>
        <w:t xml:space="preserve">preesistenti </w:t>
      </w:r>
      <w:r w:rsidR="004C105B" w:rsidRPr="00986275">
        <w:rPr>
          <w:rFonts w:ascii="Times New Roman" w:eastAsia="Times New Roman" w:hAnsi="Times New Roman"/>
          <w:sz w:val="24"/>
          <w:szCs w:val="24"/>
          <w:lang w:eastAsia="it-IT"/>
        </w:rPr>
        <w:t xml:space="preserve">(es. </w:t>
      </w:r>
      <w:r w:rsidR="00EF2588" w:rsidRPr="00986275">
        <w:rPr>
          <w:rFonts w:ascii="Times New Roman" w:eastAsia="Times New Roman" w:hAnsi="Times New Roman"/>
          <w:sz w:val="24"/>
          <w:szCs w:val="24"/>
          <w:lang w:eastAsia="it-IT"/>
        </w:rPr>
        <w:t>le norme di contabilità di Stato)</w:t>
      </w:r>
      <w:r w:rsidR="00EF2588" w:rsidRPr="00986275">
        <w:rPr>
          <w:rFonts w:ascii="Times New Roman" w:eastAsia="Times New Roman" w:hAnsi="Times New Roman"/>
          <w:b/>
          <w:sz w:val="24"/>
          <w:szCs w:val="24"/>
          <w:lang w:eastAsia="it-IT"/>
        </w:rPr>
        <w:t xml:space="preserve"> o </w:t>
      </w:r>
      <w:r w:rsidR="009063D6" w:rsidRPr="00986275">
        <w:rPr>
          <w:rFonts w:ascii="Times New Roman" w:eastAsia="Times New Roman" w:hAnsi="Times New Roman"/>
          <w:b/>
          <w:sz w:val="24"/>
          <w:szCs w:val="24"/>
          <w:lang w:eastAsia="it-IT"/>
        </w:rPr>
        <w:t xml:space="preserve">sopravvenute </w:t>
      </w:r>
      <w:r w:rsidR="00EF2588" w:rsidRPr="00986275">
        <w:rPr>
          <w:rFonts w:ascii="Times New Roman" w:eastAsia="Times New Roman" w:hAnsi="Times New Roman"/>
          <w:sz w:val="24"/>
          <w:szCs w:val="24"/>
          <w:lang w:eastAsia="it-IT"/>
        </w:rPr>
        <w:t xml:space="preserve">ma </w:t>
      </w:r>
      <w:r w:rsidR="009063D6" w:rsidRPr="00986275">
        <w:rPr>
          <w:rFonts w:ascii="Times New Roman" w:eastAsia="Times New Roman" w:hAnsi="Times New Roman"/>
          <w:sz w:val="24"/>
          <w:szCs w:val="24"/>
          <w:lang w:eastAsia="it-IT"/>
        </w:rPr>
        <w:t>non inserite nel D.lgs. n. 163/2006</w:t>
      </w:r>
      <w:r w:rsidR="00576C85" w:rsidRPr="00986275">
        <w:rPr>
          <w:rStyle w:val="Rimandonotaapidipagina"/>
          <w:rFonts w:ascii="Times New Roman" w:eastAsia="Times New Roman" w:hAnsi="Times New Roman"/>
          <w:b/>
          <w:sz w:val="24"/>
          <w:szCs w:val="24"/>
          <w:lang w:eastAsia="it-IT"/>
        </w:rPr>
        <w:footnoteReference w:id="2"/>
      </w:r>
      <w:r w:rsidR="00576C85" w:rsidRPr="00986275">
        <w:rPr>
          <w:rFonts w:ascii="Times New Roman" w:eastAsia="Times New Roman" w:hAnsi="Times New Roman"/>
          <w:sz w:val="24"/>
          <w:szCs w:val="24"/>
          <w:lang w:eastAsia="it-IT"/>
        </w:rPr>
        <w:t>;</w:t>
      </w:r>
    </w:p>
    <w:p w:rsidR="006B4CB1" w:rsidRPr="00986275" w:rsidRDefault="006B4CB1" w:rsidP="00EC05D8">
      <w:pPr>
        <w:pStyle w:val="Paragrafoelenco"/>
        <w:numPr>
          <w:ilvl w:val="0"/>
          <w:numId w:val="1"/>
        </w:numPr>
        <w:spacing w:after="100" w:line="300" w:lineRule="atLeast"/>
        <w:ind w:left="567" w:hanging="283"/>
        <w:contextualSpacing w:val="0"/>
        <w:jc w:val="both"/>
        <w:rPr>
          <w:rFonts w:ascii="Times New Roman" w:eastAsia="Times New Roman" w:hAnsi="Times New Roman"/>
          <w:sz w:val="24"/>
          <w:szCs w:val="24"/>
          <w:lang w:eastAsia="it-IT"/>
        </w:rPr>
      </w:pPr>
      <w:r w:rsidRPr="00986275">
        <w:rPr>
          <w:rFonts w:ascii="Times New Roman" w:eastAsia="Times New Roman" w:hAnsi="Times New Roman"/>
          <w:b/>
          <w:sz w:val="24"/>
          <w:szCs w:val="24"/>
          <w:lang w:eastAsia="it-IT"/>
        </w:rPr>
        <w:t>chiarire il destino delle disposizioni regolamentari</w:t>
      </w:r>
      <w:r w:rsidRPr="00986275">
        <w:rPr>
          <w:rFonts w:ascii="Times New Roman" w:eastAsia="Times New Roman" w:hAnsi="Times New Roman"/>
          <w:sz w:val="24"/>
          <w:szCs w:val="24"/>
          <w:lang w:eastAsia="it-IT"/>
        </w:rPr>
        <w:t xml:space="preserve"> </w:t>
      </w:r>
      <w:r w:rsidR="00EF2588" w:rsidRPr="00986275">
        <w:rPr>
          <w:rFonts w:ascii="Times New Roman" w:eastAsia="Times New Roman" w:hAnsi="Times New Roman"/>
          <w:sz w:val="24"/>
          <w:szCs w:val="24"/>
          <w:lang w:eastAsia="it-IT"/>
        </w:rPr>
        <w:t>del d.P.R. n. 207/2010</w:t>
      </w:r>
      <w:r w:rsidRPr="00986275">
        <w:rPr>
          <w:rFonts w:ascii="Times New Roman" w:eastAsia="Times New Roman" w:hAnsi="Times New Roman"/>
          <w:sz w:val="24"/>
          <w:szCs w:val="24"/>
          <w:lang w:eastAsia="it-IT"/>
        </w:rPr>
        <w:t>;</w:t>
      </w:r>
    </w:p>
    <w:p w:rsidR="009063D6" w:rsidRPr="00986275" w:rsidRDefault="009063D6" w:rsidP="00EC05D8">
      <w:pPr>
        <w:pStyle w:val="Paragrafoelenco"/>
        <w:numPr>
          <w:ilvl w:val="0"/>
          <w:numId w:val="1"/>
        </w:numPr>
        <w:spacing w:after="100" w:line="300" w:lineRule="atLeast"/>
        <w:ind w:left="567" w:hanging="283"/>
        <w:contextualSpacing w:val="0"/>
        <w:jc w:val="both"/>
        <w:rPr>
          <w:rFonts w:ascii="Times New Roman" w:eastAsia="Times New Roman" w:hAnsi="Times New Roman"/>
          <w:sz w:val="24"/>
          <w:szCs w:val="24"/>
          <w:lang w:eastAsia="it-IT"/>
        </w:rPr>
      </w:pPr>
      <w:r w:rsidRPr="00986275">
        <w:rPr>
          <w:rFonts w:ascii="Times New Roman" w:hAnsi="Times New Roman"/>
          <w:sz w:val="24"/>
          <w:szCs w:val="24"/>
        </w:rPr>
        <w:t xml:space="preserve">prevedere i necessari </w:t>
      </w:r>
      <w:r w:rsidRPr="00986275">
        <w:rPr>
          <w:rFonts w:ascii="Times New Roman" w:hAnsi="Times New Roman"/>
          <w:b/>
          <w:sz w:val="24"/>
          <w:szCs w:val="24"/>
        </w:rPr>
        <w:t>collegamenti con la normativa fallimentare</w:t>
      </w:r>
      <w:r w:rsidRPr="00986275">
        <w:rPr>
          <w:rFonts w:ascii="Times New Roman" w:hAnsi="Times New Roman"/>
          <w:sz w:val="24"/>
          <w:szCs w:val="24"/>
        </w:rPr>
        <w:t xml:space="preserve"> che, pur essendo coeva al Codice dei Contratti Pubblici, non risulta con esso coordinata, dando luogo a notevoli problematiche di carattere operativo;</w:t>
      </w:r>
    </w:p>
    <w:p w:rsidR="009063D6" w:rsidRPr="00986275" w:rsidRDefault="008A25BB" w:rsidP="00EC05D8">
      <w:pPr>
        <w:pStyle w:val="Paragrafoelenco"/>
        <w:numPr>
          <w:ilvl w:val="0"/>
          <w:numId w:val="1"/>
        </w:numPr>
        <w:spacing w:after="100" w:line="300" w:lineRule="atLeast"/>
        <w:ind w:left="567" w:hanging="283"/>
        <w:contextualSpacing w:val="0"/>
        <w:jc w:val="both"/>
        <w:rPr>
          <w:rFonts w:ascii="Times New Roman" w:eastAsia="Times New Roman" w:hAnsi="Times New Roman"/>
          <w:sz w:val="24"/>
          <w:szCs w:val="24"/>
          <w:lang w:eastAsia="it-IT"/>
        </w:rPr>
      </w:pPr>
      <w:r w:rsidRPr="00986275">
        <w:rPr>
          <w:rFonts w:ascii="Times New Roman" w:eastAsia="Times New Roman" w:hAnsi="Times New Roman"/>
          <w:b/>
          <w:sz w:val="24"/>
          <w:szCs w:val="24"/>
          <w:lang w:eastAsia="it-IT"/>
        </w:rPr>
        <w:t>riordinare la disciplina in materia di</w:t>
      </w:r>
      <w:r w:rsidR="009063D6" w:rsidRPr="00986275">
        <w:rPr>
          <w:rFonts w:ascii="Times New Roman" w:eastAsia="Times New Roman" w:hAnsi="Times New Roman"/>
          <w:sz w:val="24"/>
          <w:szCs w:val="24"/>
          <w:lang w:eastAsia="it-IT"/>
        </w:rPr>
        <w:t xml:space="preserve"> </w:t>
      </w:r>
      <w:r w:rsidRPr="00986275">
        <w:rPr>
          <w:rFonts w:ascii="Times New Roman" w:eastAsia="Times New Roman" w:hAnsi="Times New Roman"/>
          <w:b/>
          <w:sz w:val="24"/>
          <w:szCs w:val="24"/>
          <w:lang w:eastAsia="it-IT"/>
        </w:rPr>
        <w:t xml:space="preserve">infrastrutture strategiche e </w:t>
      </w:r>
      <w:r w:rsidR="00A63B71">
        <w:rPr>
          <w:rFonts w:ascii="Times New Roman" w:eastAsia="Times New Roman" w:hAnsi="Times New Roman"/>
          <w:b/>
          <w:sz w:val="24"/>
          <w:szCs w:val="24"/>
          <w:lang w:eastAsia="it-IT"/>
        </w:rPr>
        <w:t xml:space="preserve">PPP </w:t>
      </w:r>
      <w:r w:rsidR="009063D6" w:rsidRPr="00986275">
        <w:rPr>
          <w:rFonts w:ascii="Times New Roman" w:eastAsia="Times New Roman" w:hAnsi="Times New Roman"/>
          <w:sz w:val="24"/>
          <w:szCs w:val="24"/>
          <w:lang w:eastAsia="it-IT"/>
        </w:rPr>
        <w:t>(anche attraverso str</w:t>
      </w:r>
      <w:r w:rsidRPr="00986275">
        <w:rPr>
          <w:rFonts w:ascii="Times New Roman" w:eastAsia="Times New Roman" w:hAnsi="Times New Roman"/>
          <w:sz w:val="24"/>
          <w:szCs w:val="24"/>
          <w:lang w:eastAsia="it-IT"/>
        </w:rPr>
        <w:t>umenti finanziari innovativi</w:t>
      </w:r>
      <w:r w:rsidR="001B77A8" w:rsidRPr="00986275">
        <w:rPr>
          <w:rFonts w:ascii="Times New Roman" w:eastAsia="Times New Roman" w:hAnsi="Times New Roman"/>
          <w:sz w:val="24"/>
          <w:szCs w:val="24"/>
          <w:lang w:eastAsia="it-IT"/>
        </w:rPr>
        <w:t xml:space="preserve"> come, ad esempio, </w:t>
      </w:r>
      <w:r w:rsidR="000C5A4D" w:rsidRPr="00986275">
        <w:rPr>
          <w:rFonts w:ascii="Times New Roman" w:eastAsia="Times New Roman" w:hAnsi="Times New Roman"/>
          <w:sz w:val="24"/>
          <w:szCs w:val="24"/>
          <w:lang w:eastAsia="it-IT"/>
        </w:rPr>
        <w:t>il contratto di disponibilità</w:t>
      </w:r>
      <w:r w:rsidRPr="00986275">
        <w:rPr>
          <w:rFonts w:ascii="Times New Roman" w:eastAsia="Times New Roman" w:hAnsi="Times New Roman"/>
          <w:sz w:val="24"/>
          <w:szCs w:val="24"/>
          <w:lang w:eastAsia="it-IT"/>
        </w:rPr>
        <w:t>), ove si consideri, a</w:t>
      </w:r>
      <w:r w:rsidR="00EF2588" w:rsidRPr="00986275">
        <w:rPr>
          <w:rFonts w:ascii="Times New Roman" w:eastAsia="Times New Roman" w:hAnsi="Times New Roman"/>
          <w:sz w:val="24"/>
          <w:szCs w:val="24"/>
          <w:lang w:eastAsia="it-IT"/>
        </w:rPr>
        <w:t xml:space="preserve">d esempio, </w:t>
      </w:r>
      <w:r w:rsidRPr="00986275">
        <w:rPr>
          <w:rFonts w:ascii="Times New Roman" w:eastAsia="Times New Roman" w:hAnsi="Times New Roman"/>
          <w:sz w:val="24"/>
          <w:szCs w:val="24"/>
          <w:lang w:eastAsia="it-IT"/>
        </w:rPr>
        <w:t xml:space="preserve">che le disposizioni in materia di defiscalizzazione </w:t>
      </w:r>
      <w:r w:rsidR="00EF2588" w:rsidRPr="00986275">
        <w:rPr>
          <w:rFonts w:ascii="Times New Roman" w:eastAsia="Times New Roman" w:hAnsi="Times New Roman"/>
          <w:sz w:val="24"/>
          <w:szCs w:val="24"/>
          <w:lang w:eastAsia="it-IT"/>
        </w:rPr>
        <w:t xml:space="preserve">sono </w:t>
      </w:r>
      <w:r w:rsidRPr="00986275">
        <w:rPr>
          <w:rFonts w:ascii="Times New Roman" w:eastAsia="Times New Roman" w:hAnsi="Times New Roman"/>
          <w:sz w:val="24"/>
          <w:szCs w:val="24"/>
          <w:lang w:eastAsia="it-IT"/>
        </w:rPr>
        <w:t xml:space="preserve">sparse in una pluralità di provvedimenti normativi; </w:t>
      </w:r>
    </w:p>
    <w:p w:rsidR="009063D6" w:rsidRPr="00986275" w:rsidRDefault="009063D6" w:rsidP="00EC05D8">
      <w:pPr>
        <w:pStyle w:val="Paragrafoelenco"/>
        <w:numPr>
          <w:ilvl w:val="0"/>
          <w:numId w:val="1"/>
        </w:numPr>
        <w:spacing w:after="100" w:line="300" w:lineRule="atLeast"/>
        <w:ind w:left="567" w:hanging="283"/>
        <w:contextualSpacing w:val="0"/>
        <w:jc w:val="both"/>
        <w:rPr>
          <w:rFonts w:ascii="Times New Roman" w:eastAsia="Times New Roman" w:hAnsi="Times New Roman"/>
          <w:sz w:val="24"/>
          <w:szCs w:val="24"/>
          <w:lang w:eastAsia="it-IT"/>
        </w:rPr>
      </w:pPr>
      <w:r w:rsidRPr="00986275">
        <w:rPr>
          <w:rFonts w:ascii="Times New Roman" w:eastAsia="Times New Roman" w:hAnsi="Times New Roman"/>
          <w:sz w:val="24"/>
          <w:szCs w:val="24"/>
          <w:lang w:eastAsia="it-IT"/>
        </w:rPr>
        <w:t xml:space="preserve">contenere una </w:t>
      </w:r>
      <w:r w:rsidRPr="00986275">
        <w:rPr>
          <w:rFonts w:ascii="Times New Roman" w:eastAsia="Times New Roman" w:hAnsi="Times New Roman"/>
          <w:b/>
          <w:sz w:val="24"/>
          <w:szCs w:val="24"/>
          <w:lang w:eastAsia="it-IT"/>
        </w:rPr>
        <w:t>puntuale</w:t>
      </w:r>
      <w:r w:rsidRPr="00986275">
        <w:rPr>
          <w:rFonts w:ascii="Times New Roman" w:eastAsia="Times New Roman" w:hAnsi="Times New Roman"/>
          <w:sz w:val="24"/>
          <w:szCs w:val="24"/>
          <w:lang w:eastAsia="it-IT"/>
        </w:rPr>
        <w:t xml:space="preserve"> </w:t>
      </w:r>
      <w:r w:rsidRPr="00986275">
        <w:rPr>
          <w:rFonts w:ascii="Times New Roman" w:eastAsia="Times New Roman" w:hAnsi="Times New Roman"/>
          <w:b/>
          <w:sz w:val="24"/>
          <w:szCs w:val="24"/>
          <w:lang w:eastAsia="it-IT"/>
        </w:rPr>
        <w:t>disciplina di diritto transitorio</w:t>
      </w:r>
      <w:r w:rsidRPr="00986275">
        <w:rPr>
          <w:rFonts w:ascii="Times New Roman" w:eastAsia="Times New Roman" w:hAnsi="Times New Roman"/>
          <w:sz w:val="24"/>
          <w:szCs w:val="24"/>
          <w:lang w:eastAsia="it-IT"/>
        </w:rPr>
        <w:t xml:space="preserve"> per evitare incertezze applicative </w:t>
      </w:r>
      <w:r w:rsidR="00EF2588" w:rsidRPr="00986275">
        <w:rPr>
          <w:rFonts w:ascii="Times New Roman" w:eastAsia="Times New Roman" w:hAnsi="Times New Roman"/>
          <w:sz w:val="24"/>
          <w:szCs w:val="24"/>
          <w:lang w:eastAsia="it-IT"/>
        </w:rPr>
        <w:t xml:space="preserve">per le gare già indette ed </w:t>
      </w:r>
      <w:r w:rsidRPr="00986275">
        <w:rPr>
          <w:rFonts w:ascii="Times New Roman" w:eastAsia="Times New Roman" w:hAnsi="Times New Roman"/>
          <w:sz w:val="24"/>
          <w:szCs w:val="24"/>
          <w:lang w:eastAsia="it-IT"/>
        </w:rPr>
        <w:t>i contratti già stipulati all</w:t>
      </w:r>
      <w:r w:rsidR="00EF2588" w:rsidRPr="00986275">
        <w:rPr>
          <w:rFonts w:ascii="Times New Roman" w:eastAsia="Times New Roman" w:hAnsi="Times New Roman"/>
          <w:sz w:val="24"/>
          <w:szCs w:val="24"/>
          <w:lang w:eastAsia="it-IT"/>
        </w:rPr>
        <w:t>’</w:t>
      </w:r>
      <w:r w:rsidRPr="00986275">
        <w:rPr>
          <w:rFonts w:ascii="Times New Roman" w:eastAsia="Times New Roman" w:hAnsi="Times New Roman"/>
          <w:sz w:val="24"/>
          <w:szCs w:val="24"/>
          <w:lang w:eastAsia="it-IT"/>
        </w:rPr>
        <w:t xml:space="preserve"> entr</w:t>
      </w:r>
      <w:r w:rsidR="00A63B71">
        <w:rPr>
          <w:rFonts w:ascii="Times New Roman" w:eastAsia="Times New Roman" w:hAnsi="Times New Roman"/>
          <w:sz w:val="24"/>
          <w:szCs w:val="24"/>
          <w:lang w:eastAsia="it-IT"/>
        </w:rPr>
        <w:t>ata in vigore delle nuove norme.</w:t>
      </w:r>
    </w:p>
    <w:p w:rsidR="00A539EC" w:rsidRDefault="00A3288B" w:rsidP="00EC05D8">
      <w:pPr>
        <w:pStyle w:val="Paragrafoelenco"/>
        <w:numPr>
          <w:ilvl w:val="0"/>
          <w:numId w:val="5"/>
        </w:numPr>
        <w:spacing w:after="100" w:line="300" w:lineRule="atLeast"/>
        <w:contextualSpacing w:val="0"/>
        <w:jc w:val="both"/>
        <w:rPr>
          <w:rFonts w:ascii="Times New Roman" w:eastAsia="Times New Roman" w:hAnsi="Times New Roman"/>
          <w:sz w:val="24"/>
          <w:szCs w:val="24"/>
          <w:lang w:eastAsia="it-IT"/>
        </w:rPr>
      </w:pPr>
      <w:r w:rsidRPr="00986275">
        <w:rPr>
          <w:rFonts w:ascii="Times New Roman" w:eastAsia="Times New Roman" w:hAnsi="Times New Roman"/>
          <w:sz w:val="24"/>
          <w:szCs w:val="24"/>
          <w:lang w:eastAsia="it-IT"/>
        </w:rPr>
        <w:t xml:space="preserve">La semplificazione del quadro normativo di riferimento avrebbe peraltro, al contempo, il vantaggio di </w:t>
      </w:r>
      <w:r w:rsidRPr="00986275">
        <w:rPr>
          <w:rFonts w:ascii="Times New Roman" w:eastAsia="Times New Roman" w:hAnsi="Times New Roman"/>
          <w:b/>
          <w:sz w:val="24"/>
          <w:szCs w:val="24"/>
          <w:lang w:eastAsia="it-IT"/>
        </w:rPr>
        <w:t>accrescere l’efficacia del sistema dei controlli</w:t>
      </w:r>
      <w:r w:rsidR="00971667" w:rsidRPr="00986275">
        <w:rPr>
          <w:rFonts w:ascii="Times New Roman" w:eastAsia="Times New Roman" w:hAnsi="Times New Roman"/>
          <w:sz w:val="24"/>
          <w:szCs w:val="24"/>
          <w:lang w:eastAsia="it-IT"/>
        </w:rPr>
        <w:t xml:space="preserve">, in coerenza con un altro principio della legge delega, quello di assicurare una più attenta </w:t>
      </w:r>
      <w:r w:rsidR="00971667" w:rsidRPr="00986275">
        <w:rPr>
          <w:rFonts w:ascii="Times New Roman" w:eastAsia="Times New Roman" w:hAnsi="Times New Roman"/>
          <w:b/>
          <w:sz w:val="24"/>
          <w:szCs w:val="24"/>
          <w:lang w:eastAsia="it-IT"/>
        </w:rPr>
        <w:t>vigilanza sulla correttezza e sulla trasparenza delle procedure di gara</w:t>
      </w:r>
      <w:r w:rsidR="00971667" w:rsidRPr="00986275">
        <w:rPr>
          <w:rFonts w:ascii="Times New Roman" w:eastAsia="Times New Roman" w:hAnsi="Times New Roman"/>
          <w:sz w:val="24"/>
          <w:szCs w:val="24"/>
          <w:lang w:eastAsia="it-IT"/>
        </w:rPr>
        <w:t>.</w:t>
      </w:r>
      <w:r w:rsidR="00005F23" w:rsidRPr="00986275">
        <w:rPr>
          <w:rFonts w:ascii="Times New Roman" w:eastAsia="Times New Roman" w:hAnsi="Times New Roman"/>
          <w:sz w:val="24"/>
          <w:szCs w:val="24"/>
          <w:lang w:eastAsia="it-IT"/>
        </w:rPr>
        <w:t xml:space="preserve"> </w:t>
      </w:r>
    </w:p>
    <w:p w:rsidR="00EF2588" w:rsidRPr="00986275" w:rsidRDefault="00A3288B" w:rsidP="00EC05D8">
      <w:pPr>
        <w:pStyle w:val="Paragrafoelenco"/>
        <w:numPr>
          <w:ilvl w:val="0"/>
          <w:numId w:val="5"/>
        </w:numPr>
        <w:spacing w:after="100" w:line="300" w:lineRule="atLeast"/>
        <w:contextualSpacing w:val="0"/>
        <w:jc w:val="both"/>
        <w:rPr>
          <w:rFonts w:ascii="Times New Roman" w:eastAsia="Times New Roman" w:hAnsi="Times New Roman"/>
          <w:sz w:val="24"/>
          <w:szCs w:val="24"/>
          <w:lang w:eastAsia="it-IT"/>
        </w:rPr>
      </w:pPr>
      <w:r w:rsidRPr="00986275">
        <w:rPr>
          <w:rFonts w:ascii="Times New Roman" w:eastAsia="Times New Roman" w:hAnsi="Times New Roman"/>
          <w:sz w:val="24"/>
          <w:szCs w:val="24"/>
          <w:lang w:eastAsia="it-IT"/>
        </w:rPr>
        <w:t xml:space="preserve">Sono, infatti, profondamente convinto che esista uno </w:t>
      </w:r>
      <w:r w:rsidRPr="00A63B71">
        <w:rPr>
          <w:rFonts w:ascii="Times New Roman" w:eastAsia="Times New Roman" w:hAnsi="Times New Roman"/>
          <w:b/>
          <w:sz w:val="24"/>
          <w:szCs w:val="24"/>
          <w:lang w:eastAsia="it-IT"/>
        </w:rPr>
        <w:t>stretto collegamento tra semplificazione delle norme, trasparenza e</w:t>
      </w:r>
      <w:r w:rsidR="00971667" w:rsidRPr="00A63B71">
        <w:rPr>
          <w:rFonts w:ascii="Times New Roman" w:eastAsia="Times New Roman" w:hAnsi="Times New Roman"/>
          <w:b/>
          <w:sz w:val="24"/>
          <w:szCs w:val="24"/>
          <w:lang w:eastAsia="it-IT"/>
        </w:rPr>
        <w:t xml:space="preserve"> lotta alla corruzione. </w:t>
      </w:r>
      <w:r w:rsidR="00A539EC">
        <w:rPr>
          <w:rFonts w:ascii="Times New Roman" w:hAnsi="Times New Roman"/>
          <w:sz w:val="24"/>
          <w:szCs w:val="24"/>
        </w:rPr>
        <w:t>In tale chiave, u</w:t>
      </w:r>
      <w:r w:rsidR="00A539EC" w:rsidRPr="00986275">
        <w:rPr>
          <w:rFonts w:ascii="Times New Roman" w:hAnsi="Times New Roman"/>
          <w:sz w:val="24"/>
          <w:szCs w:val="24"/>
        </w:rPr>
        <w:t xml:space="preserve">n primo rafforzamento dei controlli si può attuare </w:t>
      </w:r>
      <w:r w:rsidR="00A539EC" w:rsidRPr="00B7630C">
        <w:rPr>
          <w:rFonts w:ascii="Times New Roman" w:hAnsi="Times New Roman"/>
          <w:b/>
          <w:sz w:val="24"/>
          <w:szCs w:val="24"/>
        </w:rPr>
        <w:t xml:space="preserve">escludendo il ricorso a procedure derogatorie e al commissariamento, </w:t>
      </w:r>
      <w:r w:rsidR="00A539EC" w:rsidRPr="00986275">
        <w:rPr>
          <w:rFonts w:ascii="Times New Roman" w:hAnsi="Times New Roman"/>
          <w:sz w:val="24"/>
          <w:szCs w:val="24"/>
        </w:rPr>
        <w:t>secondo diverse norme, di opere che possono e devono essere realizzate con procedure ordinarie e con adeguata programmazione, lasciando le procedure</w:t>
      </w:r>
      <w:r w:rsidR="00A539EC">
        <w:rPr>
          <w:rFonts w:ascii="Times New Roman" w:hAnsi="Times New Roman"/>
          <w:sz w:val="24"/>
          <w:szCs w:val="24"/>
        </w:rPr>
        <w:t xml:space="preserve"> straordinarie a vere emergenze</w:t>
      </w:r>
      <w:r w:rsidR="00A539EC" w:rsidRPr="00986275">
        <w:rPr>
          <w:rFonts w:ascii="Times New Roman" w:hAnsi="Times New Roman"/>
          <w:sz w:val="24"/>
          <w:szCs w:val="24"/>
        </w:rPr>
        <w:t>.</w:t>
      </w:r>
    </w:p>
    <w:p w:rsidR="00971667" w:rsidRPr="00986275" w:rsidRDefault="00971667" w:rsidP="00EC05D8">
      <w:pPr>
        <w:pStyle w:val="Paragrafoelenco"/>
        <w:numPr>
          <w:ilvl w:val="0"/>
          <w:numId w:val="5"/>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Al riguardo</w:t>
      </w:r>
      <w:r w:rsidRPr="00986275">
        <w:rPr>
          <w:rFonts w:ascii="Times New Roman" w:hAnsi="Times New Roman"/>
          <w:b/>
          <w:sz w:val="24"/>
          <w:szCs w:val="24"/>
        </w:rPr>
        <w:t xml:space="preserve"> posso affermare con soddisfazione che ANAS non opera secondo sistemi derogatori - </w:t>
      </w:r>
      <w:r w:rsidRPr="00986275">
        <w:rPr>
          <w:rFonts w:ascii="Times New Roman" w:hAnsi="Times New Roman"/>
          <w:sz w:val="24"/>
          <w:szCs w:val="24"/>
        </w:rPr>
        <w:t xml:space="preserve">e ciò anche nell’attuazione dello </w:t>
      </w:r>
      <w:r w:rsidRPr="00986275">
        <w:rPr>
          <w:rFonts w:ascii="Times New Roman" w:hAnsi="Times New Roman"/>
          <w:b/>
          <w:sz w:val="24"/>
          <w:szCs w:val="24"/>
        </w:rPr>
        <w:t xml:space="preserve">sfidante piano di interventi di sua competenza previsto nell’ambito del citato D.L. n. 133/2014, </w:t>
      </w:r>
      <w:r w:rsidRPr="00986275">
        <w:rPr>
          <w:rFonts w:ascii="Times New Roman" w:hAnsi="Times New Roman"/>
          <w:sz w:val="24"/>
          <w:szCs w:val="24"/>
        </w:rPr>
        <w:t>che prevede il rispetto di un crono</w:t>
      </w:r>
      <w:r w:rsidR="00A539EC">
        <w:rPr>
          <w:rFonts w:ascii="Times New Roman" w:hAnsi="Times New Roman"/>
          <w:sz w:val="24"/>
          <w:szCs w:val="24"/>
        </w:rPr>
        <w:t>-</w:t>
      </w:r>
      <w:r w:rsidRPr="00986275">
        <w:rPr>
          <w:rFonts w:ascii="Times New Roman" w:hAnsi="Times New Roman"/>
          <w:sz w:val="24"/>
          <w:szCs w:val="24"/>
        </w:rPr>
        <w:t>programma incalzante, pe</w:t>
      </w:r>
      <w:r w:rsidR="00A539EC">
        <w:rPr>
          <w:rFonts w:ascii="Times New Roman" w:hAnsi="Times New Roman"/>
          <w:sz w:val="24"/>
          <w:szCs w:val="24"/>
        </w:rPr>
        <w:t>na la revoca dei finanziamenti.</w:t>
      </w:r>
    </w:p>
    <w:p w:rsidR="00131C05" w:rsidRDefault="00131C05" w:rsidP="00396B05">
      <w:pPr>
        <w:spacing w:after="100" w:line="300" w:lineRule="atLeast"/>
        <w:jc w:val="both"/>
        <w:rPr>
          <w:rFonts w:ascii="Times New Roman" w:eastAsia="Times New Roman" w:hAnsi="Times New Roman"/>
          <w:sz w:val="24"/>
          <w:szCs w:val="24"/>
          <w:lang w:eastAsia="it-IT"/>
        </w:rPr>
      </w:pPr>
    </w:p>
    <w:p w:rsidR="00986275" w:rsidRPr="00396B05" w:rsidRDefault="00396B05" w:rsidP="00EC05D8">
      <w:pPr>
        <w:pStyle w:val="Paragrafoelenco"/>
        <w:numPr>
          <w:ilvl w:val="0"/>
          <w:numId w:val="15"/>
        </w:numPr>
        <w:spacing w:after="100" w:line="300" w:lineRule="atLeast"/>
        <w:jc w:val="both"/>
        <w:rPr>
          <w:rFonts w:ascii="Times New Roman" w:hAnsi="Times New Roman"/>
          <w:b/>
          <w:sz w:val="24"/>
          <w:szCs w:val="24"/>
        </w:rPr>
      </w:pPr>
      <w:r>
        <w:rPr>
          <w:rFonts w:ascii="Times New Roman" w:hAnsi="Times New Roman"/>
          <w:b/>
          <w:sz w:val="24"/>
          <w:szCs w:val="24"/>
        </w:rPr>
        <w:t>P</w:t>
      </w:r>
      <w:r w:rsidR="00986275" w:rsidRPr="00396B05">
        <w:rPr>
          <w:rFonts w:ascii="Times New Roman" w:hAnsi="Times New Roman"/>
          <w:b/>
          <w:sz w:val="24"/>
          <w:szCs w:val="24"/>
        </w:rPr>
        <w:t xml:space="preserve">rofessionalizzazione e riduzione del numero delle stazioni appaltanti </w:t>
      </w:r>
    </w:p>
    <w:p w:rsidR="00986275" w:rsidRPr="00986275" w:rsidRDefault="00986275" w:rsidP="00EC05D8">
      <w:pPr>
        <w:pStyle w:val="Paragrafoelenco"/>
        <w:numPr>
          <w:ilvl w:val="0"/>
          <w:numId w:val="7"/>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Tali obiettivi – pienamente condivisi anche da ANAS - potrebbero essere raggiunti mediante </w:t>
      </w:r>
      <w:r w:rsidRPr="00986275">
        <w:rPr>
          <w:rFonts w:ascii="Times New Roman" w:hAnsi="Times New Roman"/>
          <w:b/>
          <w:sz w:val="24"/>
          <w:szCs w:val="24"/>
        </w:rPr>
        <w:t xml:space="preserve">l’introduzione di un sistema di </w:t>
      </w:r>
      <w:r w:rsidRPr="00986275">
        <w:rPr>
          <w:rFonts w:ascii="Times New Roman" w:hAnsi="Times New Roman"/>
          <w:b/>
          <w:i/>
          <w:sz w:val="24"/>
          <w:szCs w:val="24"/>
        </w:rPr>
        <w:t>rating</w:t>
      </w:r>
      <w:r w:rsidRPr="00986275">
        <w:rPr>
          <w:rFonts w:ascii="Times New Roman" w:hAnsi="Times New Roman"/>
          <w:b/>
          <w:sz w:val="24"/>
          <w:szCs w:val="24"/>
        </w:rPr>
        <w:t xml:space="preserve"> per le stazioni appaltanti </w:t>
      </w:r>
      <w:r w:rsidRPr="00986275">
        <w:rPr>
          <w:rFonts w:ascii="Times New Roman" w:hAnsi="Times New Roman"/>
          <w:sz w:val="24"/>
          <w:szCs w:val="24"/>
        </w:rPr>
        <w:t>che consenta di</w:t>
      </w:r>
      <w:r w:rsidRPr="00986275">
        <w:rPr>
          <w:rFonts w:ascii="Times New Roman" w:hAnsi="Times New Roman"/>
          <w:b/>
          <w:sz w:val="24"/>
          <w:szCs w:val="24"/>
        </w:rPr>
        <w:t xml:space="preserve"> accentrare le competenze in relazione ad opere di grandi dimensioni in capo a quelle amministrazioni aggiudicatrici </w:t>
      </w:r>
      <w:r w:rsidRPr="00986275">
        <w:rPr>
          <w:rFonts w:ascii="Times New Roman" w:hAnsi="Times New Roman"/>
          <w:sz w:val="24"/>
          <w:szCs w:val="24"/>
        </w:rPr>
        <w:t xml:space="preserve">dotate di </w:t>
      </w:r>
      <w:r w:rsidRPr="00986275">
        <w:rPr>
          <w:rFonts w:ascii="Times New Roman" w:hAnsi="Times New Roman"/>
          <w:i/>
          <w:sz w:val="24"/>
          <w:szCs w:val="24"/>
        </w:rPr>
        <w:t>rating</w:t>
      </w:r>
      <w:r w:rsidRPr="00986275">
        <w:rPr>
          <w:rFonts w:ascii="Times New Roman" w:hAnsi="Times New Roman"/>
          <w:sz w:val="24"/>
          <w:szCs w:val="24"/>
        </w:rPr>
        <w:t xml:space="preserve"> più elevato, ossia</w:t>
      </w:r>
      <w:r w:rsidRPr="00986275">
        <w:rPr>
          <w:rFonts w:ascii="Times New Roman" w:hAnsi="Times New Roman"/>
          <w:b/>
          <w:sz w:val="24"/>
          <w:szCs w:val="24"/>
        </w:rPr>
        <w:t xml:space="preserve"> dotate di maggiori cognizioni tecniche, della necessaria esperienza e di un sistema rigoroso di controlli</w:t>
      </w:r>
      <w:r w:rsidRPr="00986275">
        <w:rPr>
          <w:rFonts w:ascii="Times New Roman" w:hAnsi="Times New Roman"/>
          <w:sz w:val="24"/>
          <w:szCs w:val="24"/>
        </w:rPr>
        <w:t>.</w:t>
      </w:r>
      <w:r w:rsidRPr="00986275">
        <w:rPr>
          <w:rFonts w:ascii="Times New Roman" w:hAnsi="Times New Roman"/>
          <w:b/>
          <w:sz w:val="24"/>
          <w:szCs w:val="24"/>
        </w:rPr>
        <w:t xml:space="preserve"> </w:t>
      </w:r>
      <w:r w:rsidRPr="00986275">
        <w:rPr>
          <w:rFonts w:ascii="Times New Roman" w:hAnsi="Times New Roman"/>
          <w:sz w:val="24"/>
          <w:szCs w:val="24"/>
        </w:rPr>
        <w:t>Tale sistema di qualificazione delle stazioni appaltanti potrebbe essere inserito, in linea con quanto proposto dal</w:t>
      </w:r>
      <w:r w:rsidR="00A539EC">
        <w:rPr>
          <w:rFonts w:ascii="Times New Roman" w:hAnsi="Times New Roman"/>
          <w:sz w:val="24"/>
          <w:szCs w:val="24"/>
        </w:rPr>
        <w:t xml:space="preserve"> Presidente dell’A.N.AC.,</w:t>
      </w:r>
      <w:r w:rsidRPr="00986275">
        <w:rPr>
          <w:rFonts w:ascii="Times New Roman" w:hAnsi="Times New Roman"/>
          <w:sz w:val="24"/>
          <w:szCs w:val="24"/>
        </w:rPr>
        <w:t xml:space="preserve"> nell’ambito </w:t>
      </w:r>
      <w:r w:rsidRPr="00986275">
        <w:rPr>
          <w:rFonts w:ascii="Times New Roman" w:hAnsi="Times New Roman"/>
          <w:b/>
          <w:sz w:val="24"/>
          <w:szCs w:val="24"/>
        </w:rPr>
        <w:t>dell’Anagrafe Unica delle Stazioni Appaltanti</w:t>
      </w:r>
      <w:r w:rsidRPr="00986275">
        <w:rPr>
          <w:rFonts w:ascii="Times New Roman" w:hAnsi="Times New Roman"/>
          <w:sz w:val="24"/>
          <w:szCs w:val="24"/>
        </w:rPr>
        <w:t xml:space="preserve"> (c.d. “AUSA”), già istituita presso la Banca Dati dei Contratti Pubblici.</w:t>
      </w:r>
    </w:p>
    <w:p w:rsidR="00986275" w:rsidRPr="00986275" w:rsidRDefault="00986275" w:rsidP="00EC05D8">
      <w:pPr>
        <w:pStyle w:val="Paragrafoelenco"/>
        <w:numPr>
          <w:ilvl w:val="0"/>
          <w:numId w:val="7"/>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Tale sistema sarebbe </w:t>
      </w:r>
      <w:r w:rsidRPr="00986275">
        <w:rPr>
          <w:rFonts w:ascii="Times New Roman" w:hAnsi="Times New Roman"/>
          <w:b/>
          <w:sz w:val="24"/>
          <w:szCs w:val="24"/>
        </w:rPr>
        <w:t>funzionale alla razionalizzazione delle procedure di spesa</w:t>
      </w:r>
      <w:r w:rsidRPr="00986275">
        <w:rPr>
          <w:rFonts w:ascii="Times New Roman" w:hAnsi="Times New Roman"/>
          <w:sz w:val="24"/>
          <w:szCs w:val="24"/>
        </w:rPr>
        <w:t xml:space="preserve"> </w:t>
      </w:r>
      <w:r w:rsidR="00A539EC">
        <w:rPr>
          <w:rFonts w:ascii="Times New Roman" w:hAnsi="Times New Roman"/>
          <w:sz w:val="24"/>
          <w:szCs w:val="24"/>
        </w:rPr>
        <w:t>(</w:t>
      </w:r>
      <w:r w:rsidRPr="00986275">
        <w:rPr>
          <w:rFonts w:ascii="Times New Roman" w:hAnsi="Times New Roman"/>
          <w:sz w:val="24"/>
          <w:szCs w:val="24"/>
        </w:rPr>
        <w:t>mediante la riduzione delle stazioni appaltanti</w:t>
      </w:r>
      <w:r w:rsidR="00A539EC">
        <w:rPr>
          <w:rStyle w:val="Rimandonotaapidipagina"/>
          <w:rFonts w:ascii="Times New Roman" w:hAnsi="Times New Roman"/>
          <w:sz w:val="24"/>
          <w:szCs w:val="24"/>
        </w:rPr>
        <w:footnoteReference w:id="3"/>
      </w:r>
      <w:r w:rsidRPr="00986275">
        <w:rPr>
          <w:rFonts w:ascii="Times New Roman" w:hAnsi="Times New Roman"/>
          <w:sz w:val="24"/>
          <w:szCs w:val="24"/>
        </w:rPr>
        <w:t xml:space="preserve"> e la centralizzazione degli acquisti in capo a quelle dotate di </w:t>
      </w:r>
      <w:r w:rsidRPr="00986275">
        <w:rPr>
          <w:rFonts w:ascii="Times New Roman" w:hAnsi="Times New Roman"/>
          <w:i/>
          <w:sz w:val="24"/>
          <w:szCs w:val="24"/>
        </w:rPr>
        <w:t>rating</w:t>
      </w:r>
      <w:r w:rsidR="00A539EC">
        <w:rPr>
          <w:rFonts w:ascii="Times New Roman" w:hAnsi="Times New Roman"/>
          <w:sz w:val="24"/>
          <w:szCs w:val="24"/>
        </w:rPr>
        <w:t xml:space="preserve"> più elevato) nonché</w:t>
      </w:r>
      <w:r w:rsidRPr="00986275">
        <w:rPr>
          <w:rFonts w:ascii="Times New Roman" w:hAnsi="Times New Roman"/>
          <w:sz w:val="24"/>
          <w:szCs w:val="24"/>
        </w:rPr>
        <w:t xml:space="preserve"> </w:t>
      </w:r>
      <w:r w:rsidRPr="00986275">
        <w:rPr>
          <w:rFonts w:ascii="Times New Roman" w:hAnsi="Times New Roman"/>
          <w:b/>
          <w:sz w:val="24"/>
          <w:szCs w:val="24"/>
        </w:rPr>
        <w:t xml:space="preserve">all’attribuzione </w:t>
      </w:r>
      <w:r w:rsidR="00A63B71">
        <w:rPr>
          <w:rFonts w:ascii="Times New Roman" w:hAnsi="Times New Roman"/>
          <w:b/>
          <w:sz w:val="24"/>
          <w:szCs w:val="24"/>
        </w:rPr>
        <w:t xml:space="preserve">ad esse </w:t>
      </w:r>
      <w:r w:rsidR="00A539EC">
        <w:rPr>
          <w:rFonts w:ascii="Times New Roman" w:hAnsi="Times New Roman"/>
          <w:b/>
          <w:sz w:val="24"/>
          <w:szCs w:val="24"/>
        </w:rPr>
        <w:t xml:space="preserve">- </w:t>
      </w:r>
      <w:r w:rsidR="00A539EC" w:rsidRPr="00986275">
        <w:rPr>
          <w:rFonts w:ascii="Times New Roman" w:hAnsi="Times New Roman"/>
          <w:sz w:val="24"/>
          <w:szCs w:val="24"/>
        </w:rPr>
        <w:t>in linea con quanto auspicato anche da Consip</w:t>
      </w:r>
      <w:r w:rsidR="00A539EC" w:rsidRPr="00986275">
        <w:rPr>
          <w:rFonts w:ascii="Times New Roman" w:hAnsi="Times New Roman"/>
          <w:b/>
          <w:sz w:val="24"/>
          <w:szCs w:val="24"/>
        </w:rPr>
        <w:t xml:space="preserve"> </w:t>
      </w:r>
      <w:r w:rsidR="00A539EC">
        <w:rPr>
          <w:rFonts w:ascii="Times New Roman" w:hAnsi="Times New Roman"/>
          <w:b/>
          <w:sz w:val="24"/>
          <w:szCs w:val="24"/>
        </w:rPr>
        <w:t xml:space="preserve">- </w:t>
      </w:r>
      <w:r w:rsidRPr="00986275">
        <w:rPr>
          <w:rFonts w:ascii="Times New Roman" w:hAnsi="Times New Roman"/>
          <w:b/>
          <w:sz w:val="24"/>
          <w:szCs w:val="24"/>
        </w:rPr>
        <w:t xml:space="preserve">di più ampi margini di discrezionalità, </w:t>
      </w:r>
      <w:r w:rsidRPr="00986275">
        <w:rPr>
          <w:rFonts w:ascii="Times New Roman" w:hAnsi="Times New Roman"/>
          <w:sz w:val="24"/>
          <w:szCs w:val="24"/>
        </w:rPr>
        <w:t>tenuto conto anche</w:t>
      </w:r>
      <w:r w:rsidRPr="00986275">
        <w:rPr>
          <w:rFonts w:ascii="Times New Roman" w:hAnsi="Times New Roman"/>
          <w:b/>
          <w:sz w:val="24"/>
          <w:szCs w:val="24"/>
        </w:rPr>
        <w:t xml:space="preserve"> </w:t>
      </w:r>
      <w:r w:rsidRPr="00A63B71">
        <w:rPr>
          <w:rFonts w:ascii="Times New Roman" w:hAnsi="Times New Roman"/>
          <w:b/>
          <w:sz w:val="24"/>
          <w:szCs w:val="24"/>
        </w:rPr>
        <w:t>del</w:t>
      </w:r>
      <w:r w:rsidR="00A63B71">
        <w:rPr>
          <w:rFonts w:ascii="Times New Roman" w:hAnsi="Times New Roman"/>
          <w:b/>
          <w:sz w:val="24"/>
          <w:szCs w:val="24"/>
        </w:rPr>
        <w:t xml:space="preserve"> favor </w:t>
      </w:r>
      <w:r w:rsidRPr="00A63B71">
        <w:rPr>
          <w:rFonts w:ascii="Times New Roman" w:hAnsi="Times New Roman"/>
          <w:b/>
          <w:sz w:val="24"/>
          <w:szCs w:val="24"/>
        </w:rPr>
        <w:t xml:space="preserve">delle nuove direttive </w:t>
      </w:r>
      <w:r w:rsidR="00A63B71">
        <w:rPr>
          <w:rFonts w:ascii="Times New Roman" w:hAnsi="Times New Roman"/>
          <w:b/>
          <w:sz w:val="24"/>
          <w:szCs w:val="24"/>
        </w:rPr>
        <w:t>per il riconoscimento di maggiore discrezionalità alle amministrazioni</w:t>
      </w:r>
      <w:r w:rsidRPr="00986275">
        <w:rPr>
          <w:rFonts w:ascii="Times New Roman" w:hAnsi="Times New Roman"/>
          <w:sz w:val="24"/>
          <w:szCs w:val="24"/>
        </w:rPr>
        <w:t xml:space="preserve">. </w:t>
      </w:r>
    </w:p>
    <w:p w:rsidR="00986275" w:rsidRPr="00986275" w:rsidRDefault="00986275" w:rsidP="00EC05D8">
      <w:pPr>
        <w:pStyle w:val="Paragrafoelenco"/>
        <w:numPr>
          <w:ilvl w:val="0"/>
          <w:numId w:val="7"/>
        </w:numPr>
        <w:spacing w:after="100" w:line="300" w:lineRule="atLeast"/>
        <w:contextualSpacing w:val="0"/>
        <w:jc w:val="both"/>
        <w:rPr>
          <w:rFonts w:ascii="Times New Roman" w:eastAsia="BatangChe" w:hAnsi="Times New Roman"/>
          <w:b/>
          <w:sz w:val="24"/>
          <w:szCs w:val="24"/>
        </w:rPr>
      </w:pPr>
      <w:r w:rsidRPr="00986275">
        <w:rPr>
          <w:rFonts w:ascii="Times New Roman" w:eastAsia="BatangChe" w:hAnsi="Times New Roman"/>
          <w:sz w:val="24"/>
          <w:szCs w:val="24"/>
        </w:rPr>
        <w:t>Al contempo si potrebbero raggiungere</w:t>
      </w:r>
      <w:r w:rsidRPr="00986275">
        <w:rPr>
          <w:rFonts w:ascii="Times New Roman" w:eastAsia="BatangChe" w:hAnsi="Times New Roman"/>
          <w:b/>
          <w:sz w:val="24"/>
          <w:szCs w:val="24"/>
        </w:rPr>
        <w:t xml:space="preserve"> standard di maggiore efficienza nell’utilizzo delle scarse risorse pubbliche disponibili, </w:t>
      </w:r>
      <w:r w:rsidRPr="00986275">
        <w:rPr>
          <w:rFonts w:ascii="Times New Roman" w:eastAsia="BatangChe" w:hAnsi="Times New Roman"/>
          <w:sz w:val="24"/>
          <w:szCs w:val="24"/>
        </w:rPr>
        <w:t>destinandole in favore di quelle stazioni appaltanti che forniscano più elevate garanzie in termini di tempestiva realizzabilità degli interventi ritenuti prioritari</w:t>
      </w:r>
      <w:r w:rsidRPr="00986275">
        <w:rPr>
          <w:rFonts w:ascii="Times New Roman" w:eastAsia="BatangChe" w:hAnsi="Times New Roman"/>
          <w:b/>
          <w:sz w:val="24"/>
          <w:szCs w:val="24"/>
        </w:rPr>
        <w:t xml:space="preserve">. </w:t>
      </w:r>
    </w:p>
    <w:p w:rsidR="00986275" w:rsidRDefault="00986275" w:rsidP="00EC05D8">
      <w:pPr>
        <w:pStyle w:val="Paragrafoelenco"/>
        <w:numPr>
          <w:ilvl w:val="0"/>
          <w:numId w:val="7"/>
        </w:numPr>
        <w:spacing w:after="100" w:line="300" w:lineRule="atLeast"/>
        <w:contextualSpacing w:val="0"/>
        <w:jc w:val="both"/>
        <w:rPr>
          <w:rFonts w:ascii="Times New Roman" w:hAnsi="Times New Roman"/>
          <w:b/>
          <w:sz w:val="24"/>
          <w:szCs w:val="24"/>
        </w:rPr>
      </w:pPr>
      <w:r w:rsidRPr="00986275">
        <w:rPr>
          <w:rFonts w:ascii="Times New Roman" w:hAnsi="Times New Roman"/>
          <w:sz w:val="24"/>
          <w:szCs w:val="24"/>
        </w:rPr>
        <w:t xml:space="preserve">In tale quadro </w:t>
      </w:r>
      <w:r w:rsidRPr="00986275">
        <w:rPr>
          <w:rFonts w:ascii="Times New Roman" w:hAnsi="Times New Roman"/>
          <w:b/>
          <w:sz w:val="24"/>
          <w:szCs w:val="24"/>
        </w:rPr>
        <w:t>ANAS</w:t>
      </w:r>
      <w:r w:rsidRPr="00986275">
        <w:rPr>
          <w:rFonts w:ascii="Times New Roman" w:hAnsi="Times New Roman"/>
          <w:sz w:val="24"/>
          <w:szCs w:val="24"/>
        </w:rPr>
        <w:t xml:space="preserve"> - che dal </w:t>
      </w:r>
      <w:r w:rsidRPr="00986275">
        <w:rPr>
          <w:rFonts w:ascii="Times New Roman" w:hAnsi="Times New Roman"/>
          <w:b/>
          <w:sz w:val="24"/>
          <w:szCs w:val="24"/>
        </w:rPr>
        <w:t>2007 è tra le principali stazioni appaltanti del Paese</w:t>
      </w:r>
      <w:r w:rsidRPr="00986275">
        <w:rPr>
          <w:rStyle w:val="Rimandonotaapidipagina"/>
          <w:rFonts w:ascii="Times New Roman" w:hAnsi="Times New Roman"/>
          <w:sz w:val="24"/>
          <w:szCs w:val="24"/>
        </w:rPr>
        <w:footnoteReference w:id="4"/>
      </w:r>
      <w:r w:rsidRPr="00986275">
        <w:rPr>
          <w:rFonts w:ascii="Times New Roman" w:hAnsi="Times New Roman"/>
          <w:sz w:val="24"/>
          <w:szCs w:val="24"/>
        </w:rPr>
        <w:t xml:space="preserve"> </w:t>
      </w:r>
      <w:r w:rsidRPr="00986275">
        <w:rPr>
          <w:rFonts w:ascii="Times New Roman" w:hAnsi="Times New Roman"/>
          <w:b/>
          <w:sz w:val="24"/>
          <w:szCs w:val="24"/>
        </w:rPr>
        <w:t>-</w:t>
      </w:r>
      <w:r w:rsidRPr="00986275">
        <w:rPr>
          <w:rFonts w:ascii="Times New Roman" w:hAnsi="Times New Roman"/>
          <w:sz w:val="24"/>
          <w:szCs w:val="24"/>
        </w:rPr>
        <w:t xml:space="preserve">potrebbe svolgere un ruolo centrale assumendo la </w:t>
      </w:r>
      <w:r w:rsidRPr="00986275">
        <w:rPr>
          <w:rFonts w:ascii="Times New Roman" w:hAnsi="Times New Roman"/>
          <w:b/>
          <w:sz w:val="24"/>
          <w:szCs w:val="24"/>
        </w:rPr>
        <w:t>funzione di centrale di committenza</w:t>
      </w:r>
      <w:r w:rsidRPr="00986275">
        <w:rPr>
          <w:rFonts w:ascii="Times New Roman" w:hAnsi="Times New Roman"/>
          <w:sz w:val="24"/>
          <w:szCs w:val="24"/>
        </w:rPr>
        <w:t xml:space="preserve"> (gestendo quindi le attività organizzative ed amministrative connesse all'affidamento dei relativi appalti). Tale attività potrebbe risultare particolarmente efficace ad esempio per le </w:t>
      </w:r>
      <w:r w:rsidRPr="00986275">
        <w:rPr>
          <w:rFonts w:ascii="Times New Roman" w:hAnsi="Times New Roman"/>
          <w:b/>
          <w:sz w:val="24"/>
          <w:szCs w:val="24"/>
        </w:rPr>
        <w:t>opere stradali di competenza degli Enti Locali, grazie anche all’articolazione su tutto il territorio nazionale di cui ANAS dispone.</w:t>
      </w:r>
    </w:p>
    <w:p w:rsidR="00396B05" w:rsidRDefault="00396B05" w:rsidP="00396B05">
      <w:pPr>
        <w:pStyle w:val="Paragrafoelenco"/>
        <w:spacing w:after="100" w:line="300" w:lineRule="atLeast"/>
        <w:ind w:left="360"/>
        <w:contextualSpacing w:val="0"/>
        <w:jc w:val="both"/>
        <w:rPr>
          <w:rFonts w:ascii="Times New Roman" w:hAnsi="Times New Roman"/>
          <w:b/>
          <w:sz w:val="24"/>
          <w:szCs w:val="24"/>
        </w:rPr>
      </w:pPr>
    </w:p>
    <w:p w:rsidR="00396B05" w:rsidRPr="00986275" w:rsidRDefault="00396B05" w:rsidP="00EC05D8">
      <w:pPr>
        <w:pStyle w:val="Paragrafoelenco"/>
        <w:numPr>
          <w:ilvl w:val="0"/>
          <w:numId w:val="15"/>
        </w:numPr>
        <w:spacing w:after="100" w:line="300" w:lineRule="atLeast"/>
        <w:jc w:val="both"/>
        <w:rPr>
          <w:rFonts w:ascii="Times New Roman" w:hAnsi="Times New Roman"/>
          <w:b/>
          <w:sz w:val="24"/>
          <w:szCs w:val="24"/>
        </w:rPr>
      </w:pPr>
      <w:r w:rsidRPr="00A63B71">
        <w:rPr>
          <w:rFonts w:ascii="Times New Roman" w:hAnsi="Times New Roman"/>
          <w:b/>
          <w:sz w:val="24"/>
          <w:szCs w:val="24"/>
        </w:rPr>
        <w:t>Revisione del vigente sistema di qualificazione degli operatori economici introducendo misure di premialità connesse a criteri “</w:t>
      </w:r>
      <w:r w:rsidRPr="00A63B71">
        <w:rPr>
          <w:rFonts w:ascii="Times New Roman" w:hAnsi="Times New Roman"/>
          <w:b/>
          <w:i/>
          <w:sz w:val="24"/>
          <w:szCs w:val="24"/>
        </w:rPr>
        <w:t>reputazionali</w:t>
      </w:r>
      <w:r w:rsidRPr="00A63B71">
        <w:rPr>
          <w:rFonts w:ascii="Times New Roman" w:hAnsi="Times New Roman"/>
          <w:b/>
          <w:sz w:val="24"/>
          <w:szCs w:val="24"/>
        </w:rPr>
        <w:t xml:space="preserve">” </w:t>
      </w:r>
    </w:p>
    <w:p w:rsidR="00A63B71" w:rsidRPr="00A63B71" w:rsidRDefault="00396B05" w:rsidP="00EC05D8">
      <w:pPr>
        <w:pStyle w:val="Paragrafoelenco"/>
        <w:numPr>
          <w:ilvl w:val="0"/>
          <w:numId w:val="10"/>
        </w:numPr>
        <w:spacing w:after="100" w:line="300" w:lineRule="atLeast"/>
        <w:contextualSpacing w:val="0"/>
        <w:jc w:val="both"/>
        <w:rPr>
          <w:rFonts w:ascii="Times New Roman" w:eastAsia="Times New Roman" w:hAnsi="Times New Roman"/>
          <w:sz w:val="24"/>
          <w:szCs w:val="24"/>
        </w:rPr>
      </w:pPr>
      <w:r w:rsidRPr="00986275">
        <w:rPr>
          <w:rFonts w:ascii="Times New Roman" w:hAnsi="Times New Roman"/>
          <w:sz w:val="24"/>
          <w:szCs w:val="24"/>
        </w:rPr>
        <w:t xml:space="preserve">ANAS ritiene che il recepimento delle Direttive UE rappresenti un’importante occasione per procedere ad una </w:t>
      </w:r>
      <w:r w:rsidRPr="00986275">
        <w:rPr>
          <w:rFonts w:ascii="Times New Roman" w:hAnsi="Times New Roman"/>
          <w:b/>
          <w:sz w:val="24"/>
          <w:szCs w:val="24"/>
        </w:rPr>
        <w:t xml:space="preserve">revisione del sistema di qualificazione delle imprese maggiormente ispirata a profili di carattere sostanziale </w:t>
      </w:r>
      <w:r w:rsidRPr="00986275">
        <w:rPr>
          <w:rFonts w:ascii="Times New Roman" w:hAnsi="Times New Roman"/>
          <w:sz w:val="24"/>
          <w:szCs w:val="24"/>
        </w:rPr>
        <w:t xml:space="preserve">- piuttosto che ad aspetti puramente formali. </w:t>
      </w:r>
    </w:p>
    <w:p w:rsidR="00396B05" w:rsidRPr="00A63B71" w:rsidRDefault="00396B05" w:rsidP="00EC05D8">
      <w:pPr>
        <w:pStyle w:val="Paragrafoelenco"/>
        <w:numPr>
          <w:ilvl w:val="0"/>
          <w:numId w:val="10"/>
        </w:numPr>
        <w:spacing w:after="100" w:line="300" w:lineRule="atLeast"/>
        <w:contextualSpacing w:val="0"/>
        <w:jc w:val="both"/>
        <w:rPr>
          <w:rFonts w:ascii="Times New Roman" w:eastAsia="Times New Roman" w:hAnsi="Times New Roman"/>
          <w:sz w:val="24"/>
          <w:szCs w:val="24"/>
        </w:rPr>
      </w:pPr>
      <w:r w:rsidRPr="00986275">
        <w:rPr>
          <w:rFonts w:ascii="Times New Roman" w:hAnsi="Times New Roman"/>
          <w:sz w:val="24"/>
          <w:szCs w:val="24"/>
        </w:rPr>
        <w:t xml:space="preserve">Ciò anche in considerazione degli </w:t>
      </w:r>
      <w:r w:rsidRPr="00986275">
        <w:rPr>
          <w:rFonts w:ascii="Times New Roman" w:hAnsi="Times New Roman"/>
          <w:b/>
          <w:sz w:val="24"/>
          <w:szCs w:val="24"/>
        </w:rPr>
        <w:t>spazi offerti dalla normativa comunitaria per la valutazione dei profili reputazionali e di affidabilità dei concorrenti</w:t>
      </w:r>
      <w:r w:rsidR="00A63B71">
        <w:rPr>
          <w:rFonts w:ascii="Times New Roman" w:hAnsi="Times New Roman"/>
          <w:sz w:val="24"/>
          <w:szCs w:val="24"/>
        </w:rPr>
        <w:t xml:space="preserve">, laddove </w:t>
      </w:r>
      <w:r w:rsidRPr="00A63B71">
        <w:rPr>
          <w:rFonts w:ascii="Times New Roman" w:hAnsi="Times New Roman"/>
          <w:b/>
          <w:sz w:val="24"/>
          <w:szCs w:val="24"/>
        </w:rPr>
        <w:t>riconosce espressamente alle amministrazioni aggiudicatrici</w:t>
      </w:r>
      <w:r w:rsidRPr="00A63B71">
        <w:rPr>
          <w:rFonts w:ascii="Times New Roman" w:hAnsi="Times New Roman"/>
          <w:sz w:val="24"/>
          <w:szCs w:val="24"/>
        </w:rPr>
        <w:t xml:space="preserve"> la </w:t>
      </w:r>
      <w:r w:rsidRPr="00A63B71">
        <w:rPr>
          <w:rFonts w:ascii="Times New Roman" w:hAnsi="Times New Roman"/>
          <w:b/>
          <w:sz w:val="24"/>
          <w:szCs w:val="24"/>
        </w:rPr>
        <w:t>facoltà di escludere dalla partecipazione</w:t>
      </w:r>
      <w:r w:rsidRPr="00A63B71">
        <w:rPr>
          <w:rFonts w:ascii="Times New Roman" w:hAnsi="Times New Roman"/>
          <w:sz w:val="24"/>
          <w:szCs w:val="24"/>
        </w:rPr>
        <w:t xml:space="preserve"> ad un appalto pubblico l</w:t>
      </w:r>
      <w:r w:rsidRPr="00A63B71">
        <w:rPr>
          <w:rFonts w:ascii="Times New Roman" w:hAnsi="Times New Roman"/>
          <w:b/>
          <w:sz w:val="24"/>
          <w:szCs w:val="24"/>
        </w:rPr>
        <w:t>’operatore economico che sia incorso</w:t>
      </w:r>
      <w:r w:rsidRPr="00A63B71">
        <w:rPr>
          <w:rFonts w:ascii="Times New Roman" w:hAnsi="Times New Roman"/>
          <w:sz w:val="24"/>
          <w:szCs w:val="24"/>
        </w:rPr>
        <w:t xml:space="preserve"> - tra le altre ipotesi e sulla base di un metodo di valutazione delle prestazioni contrattuali basata su criteri oggettivi e misurabili - </w:t>
      </w:r>
      <w:r w:rsidRPr="00A63B71">
        <w:rPr>
          <w:rFonts w:ascii="Times New Roman" w:hAnsi="Times New Roman"/>
          <w:sz w:val="24"/>
          <w:szCs w:val="24"/>
          <w:u w:val="single"/>
        </w:rPr>
        <w:t>in “</w:t>
      </w:r>
      <w:r w:rsidRPr="00A63B71">
        <w:rPr>
          <w:rFonts w:ascii="Times New Roman" w:hAnsi="Times New Roman"/>
          <w:i/>
          <w:sz w:val="24"/>
          <w:szCs w:val="24"/>
          <w:u w:val="single"/>
        </w:rPr>
        <w:t>significative e persistenti carenze nell’esecuzione di un requisito sostanziale nel quadro di un precedente contratto o di precedenti contratti di analoga natura con la stessa amministrazione aggiudicatrice</w:t>
      </w:r>
      <w:r w:rsidRPr="00A63B71">
        <w:rPr>
          <w:rFonts w:ascii="Times New Roman" w:hAnsi="Times New Roman"/>
          <w:sz w:val="24"/>
          <w:szCs w:val="24"/>
          <w:u w:val="single"/>
        </w:rPr>
        <w:t>”</w:t>
      </w:r>
      <w:r w:rsidRPr="00A63B71">
        <w:rPr>
          <w:rFonts w:ascii="Times New Roman" w:hAnsi="Times New Roman"/>
          <w:sz w:val="24"/>
          <w:szCs w:val="24"/>
        </w:rPr>
        <w:t xml:space="preserve"> (cfr. art. 57, par. 3 Direttiva 2014/24/UE).</w:t>
      </w:r>
    </w:p>
    <w:p w:rsidR="00396B05" w:rsidRPr="00986275" w:rsidRDefault="00396B05" w:rsidP="00EC05D8">
      <w:pPr>
        <w:pStyle w:val="Paragrafoelenco"/>
        <w:numPr>
          <w:ilvl w:val="0"/>
          <w:numId w:val="10"/>
        </w:numPr>
        <w:spacing w:after="100" w:line="300" w:lineRule="atLeast"/>
        <w:contextualSpacing w:val="0"/>
        <w:jc w:val="both"/>
        <w:rPr>
          <w:rFonts w:ascii="Times New Roman" w:hAnsi="Times New Roman"/>
          <w:sz w:val="24"/>
          <w:szCs w:val="24"/>
        </w:rPr>
      </w:pPr>
      <w:r w:rsidRPr="00986275">
        <w:rPr>
          <w:rFonts w:ascii="Times New Roman" w:hAnsi="Times New Roman"/>
          <w:b/>
          <w:sz w:val="24"/>
          <w:szCs w:val="24"/>
        </w:rPr>
        <w:t xml:space="preserve">A tal fine, potrebbe anche ipotizzarsi – </w:t>
      </w:r>
      <w:r w:rsidRPr="00986275">
        <w:rPr>
          <w:rFonts w:ascii="Times New Roman" w:hAnsi="Times New Roman"/>
          <w:sz w:val="24"/>
          <w:szCs w:val="24"/>
        </w:rPr>
        <w:t>come suggerito dall’A.N.AC. –</w:t>
      </w:r>
      <w:r w:rsidRPr="00986275">
        <w:rPr>
          <w:rFonts w:ascii="Times New Roman" w:hAnsi="Times New Roman"/>
          <w:b/>
          <w:sz w:val="24"/>
          <w:szCs w:val="24"/>
        </w:rPr>
        <w:t xml:space="preserve"> un ampliamento dell’ambito di applicazione del sistema di </w:t>
      </w:r>
      <w:r w:rsidRPr="00986275">
        <w:rPr>
          <w:rFonts w:ascii="Times New Roman" w:hAnsi="Times New Roman"/>
          <w:b/>
          <w:i/>
          <w:sz w:val="24"/>
          <w:szCs w:val="24"/>
        </w:rPr>
        <w:t>rating</w:t>
      </w:r>
      <w:r w:rsidRPr="00986275">
        <w:rPr>
          <w:rFonts w:ascii="Times New Roman" w:hAnsi="Times New Roman"/>
          <w:b/>
          <w:sz w:val="24"/>
          <w:szCs w:val="24"/>
        </w:rPr>
        <w:t xml:space="preserve"> di legalità previsto dall’art. 5-</w:t>
      </w:r>
      <w:r w:rsidRPr="00986275">
        <w:rPr>
          <w:rFonts w:ascii="Times New Roman" w:hAnsi="Times New Roman"/>
          <w:b/>
          <w:i/>
          <w:sz w:val="24"/>
          <w:szCs w:val="24"/>
        </w:rPr>
        <w:t>ter</w:t>
      </w:r>
      <w:r w:rsidRPr="00986275">
        <w:rPr>
          <w:rFonts w:ascii="Times New Roman" w:hAnsi="Times New Roman"/>
          <w:b/>
          <w:sz w:val="24"/>
          <w:szCs w:val="24"/>
        </w:rPr>
        <w:t xml:space="preserve"> del D.L. n. 1/2012</w:t>
      </w:r>
      <w:r w:rsidRPr="00986275">
        <w:rPr>
          <w:rFonts w:ascii="Times New Roman" w:hAnsi="Times New Roman"/>
          <w:sz w:val="24"/>
          <w:szCs w:val="24"/>
        </w:rPr>
        <w:t xml:space="preserve">, attualmente operante soltanto ai fini della concessione di finanziamenti da parte delle P.A. o dell’accesso al credito bancario, estendendone il campo di operatività ad ulteriori misure di premialità connesse a parametri morali e imprenditoriali. </w:t>
      </w:r>
    </w:p>
    <w:p w:rsidR="00396B05" w:rsidRPr="00986275" w:rsidRDefault="00396B05" w:rsidP="00EC05D8">
      <w:pPr>
        <w:pStyle w:val="Paragrafoelenco"/>
        <w:numPr>
          <w:ilvl w:val="0"/>
          <w:numId w:val="10"/>
        </w:numPr>
        <w:spacing w:after="100" w:line="300" w:lineRule="atLeast"/>
        <w:contextualSpacing w:val="0"/>
        <w:jc w:val="both"/>
        <w:rPr>
          <w:rFonts w:ascii="Times New Roman" w:hAnsi="Times New Roman"/>
          <w:b/>
          <w:sz w:val="24"/>
          <w:szCs w:val="24"/>
        </w:rPr>
      </w:pPr>
      <w:r w:rsidRPr="00986275">
        <w:rPr>
          <w:rFonts w:ascii="Times New Roman" w:hAnsi="Times New Roman"/>
          <w:sz w:val="24"/>
          <w:szCs w:val="24"/>
        </w:rPr>
        <w:t>Il meccanismo dovrebbe inoltre consentire alle s.a. di</w:t>
      </w:r>
      <w:r w:rsidRPr="00986275">
        <w:rPr>
          <w:rFonts w:ascii="Times New Roman" w:hAnsi="Times New Roman"/>
          <w:b/>
          <w:sz w:val="24"/>
          <w:szCs w:val="24"/>
        </w:rPr>
        <w:t xml:space="preserve"> escludere dalla partecipazione ad un appalto pubblico l’operatore economico che sia incorso</w:t>
      </w:r>
      <w:r w:rsidRPr="00986275">
        <w:rPr>
          <w:rFonts w:ascii="Times New Roman" w:hAnsi="Times New Roman"/>
          <w:sz w:val="24"/>
          <w:szCs w:val="24"/>
        </w:rPr>
        <w:t xml:space="preserve"> - tra le altre ipotesi e sulla base di un metodo di valutazione delle prestazioni contrattuali basata su criteri oggettivi e misurabili - </w:t>
      </w:r>
      <w:r w:rsidRPr="00986275">
        <w:rPr>
          <w:rFonts w:ascii="Times New Roman" w:hAnsi="Times New Roman"/>
          <w:b/>
          <w:sz w:val="24"/>
          <w:szCs w:val="24"/>
        </w:rPr>
        <w:t>in significative e/o gravi inadempienze nell’esecuzione di un precedente contratto</w:t>
      </w:r>
      <w:r w:rsidRPr="00986275">
        <w:rPr>
          <w:rFonts w:ascii="Times New Roman" w:hAnsi="Times New Roman"/>
          <w:sz w:val="24"/>
          <w:szCs w:val="24"/>
        </w:rPr>
        <w:t xml:space="preserve"> </w:t>
      </w:r>
      <w:r w:rsidRPr="00986275">
        <w:rPr>
          <w:rFonts w:ascii="Times New Roman" w:hAnsi="Times New Roman"/>
          <w:b/>
          <w:sz w:val="24"/>
          <w:szCs w:val="24"/>
        </w:rPr>
        <w:t>o di precedenti contratti di analoga natura con la stessa o con altre amministrazioni aggiudicatric</w:t>
      </w:r>
      <w:r w:rsidRPr="00986275">
        <w:rPr>
          <w:rFonts w:ascii="Times New Roman" w:hAnsi="Times New Roman"/>
          <w:sz w:val="24"/>
          <w:szCs w:val="24"/>
        </w:rPr>
        <w:t xml:space="preserve">i ovvero che abbia </w:t>
      </w:r>
      <w:r w:rsidRPr="00986275">
        <w:rPr>
          <w:rFonts w:ascii="Times New Roman" w:hAnsi="Times New Roman"/>
          <w:b/>
          <w:sz w:val="24"/>
          <w:szCs w:val="24"/>
        </w:rPr>
        <w:t>presentato pretestuosamente ed in modo ricorrente eccezioni e riserve non dipendenti da errori progettuali.</w:t>
      </w:r>
    </w:p>
    <w:p w:rsidR="00986275" w:rsidRPr="00A63B71" w:rsidRDefault="00986275" w:rsidP="00A63B71">
      <w:pPr>
        <w:spacing w:after="100" w:line="300" w:lineRule="atLeast"/>
        <w:jc w:val="both"/>
        <w:rPr>
          <w:rFonts w:ascii="Times New Roman" w:hAnsi="Times New Roman"/>
          <w:sz w:val="24"/>
          <w:szCs w:val="24"/>
        </w:rPr>
      </w:pPr>
    </w:p>
    <w:p w:rsidR="00480D27" w:rsidRPr="00986275" w:rsidRDefault="00396B05" w:rsidP="00EC05D8">
      <w:pPr>
        <w:pStyle w:val="Paragrafoelenco"/>
        <w:numPr>
          <w:ilvl w:val="0"/>
          <w:numId w:val="15"/>
        </w:numPr>
        <w:spacing w:after="100" w:line="300" w:lineRule="atLeast"/>
        <w:jc w:val="both"/>
        <w:rPr>
          <w:rFonts w:ascii="Times New Roman" w:hAnsi="Times New Roman"/>
          <w:b/>
          <w:sz w:val="24"/>
          <w:szCs w:val="24"/>
        </w:rPr>
      </w:pPr>
      <w:r w:rsidRPr="00A63B71">
        <w:rPr>
          <w:rFonts w:ascii="Times New Roman" w:hAnsi="Times New Roman"/>
          <w:b/>
          <w:sz w:val="24"/>
          <w:szCs w:val="24"/>
        </w:rPr>
        <w:t>I</w:t>
      </w:r>
      <w:r w:rsidR="00A22EFC" w:rsidRPr="00A63B71">
        <w:rPr>
          <w:rFonts w:ascii="Times New Roman" w:hAnsi="Times New Roman"/>
          <w:b/>
          <w:sz w:val="24"/>
          <w:szCs w:val="24"/>
        </w:rPr>
        <w:t xml:space="preserve">ntroduzione di misure </w:t>
      </w:r>
      <w:r w:rsidRPr="00A63B71">
        <w:rPr>
          <w:rFonts w:ascii="Times New Roman" w:hAnsi="Times New Roman"/>
          <w:b/>
          <w:sz w:val="24"/>
          <w:szCs w:val="24"/>
        </w:rPr>
        <w:t xml:space="preserve">per </w:t>
      </w:r>
      <w:r w:rsidR="00A22EFC" w:rsidRPr="00A63B71">
        <w:rPr>
          <w:rFonts w:ascii="Times New Roman" w:hAnsi="Times New Roman"/>
          <w:b/>
          <w:sz w:val="24"/>
          <w:szCs w:val="24"/>
        </w:rPr>
        <w:t xml:space="preserve">contenere </w:t>
      </w:r>
      <w:r w:rsidRPr="00A63B71">
        <w:rPr>
          <w:rFonts w:ascii="Times New Roman" w:hAnsi="Times New Roman"/>
          <w:b/>
          <w:sz w:val="24"/>
          <w:szCs w:val="24"/>
        </w:rPr>
        <w:t xml:space="preserve">le </w:t>
      </w:r>
      <w:r w:rsidR="00A22EFC" w:rsidRPr="00A63B71">
        <w:rPr>
          <w:rFonts w:ascii="Times New Roman" w:hAnsi="Times New Roman"/>
          <w:b/>
          <w:sz w:val="24"/>
          <w:szCs w:val="24"/>
        </w:rPr>
        <w:t>variazioni progettuali in corso d’opera</w:t>
      </w:r>
      <w:r w:rsidR="00480D27" w:rsidRPr="00986275">
        <w:rPr>
          <w:rFonts w:ascii="Times New Roman" w:hAnsi="Times New Roman"/>
          <w:b/>
          <w:sz w:val="24"/>
          <w:szCs w:val="24"/>
        </w:rPr>
        <w:t xml:space="preserve"> </w:t>
      </w:r>
    </w:p>
    <w:p w:rsidR="000D4793" w:rsidRPr="00986275" w:rsidRDefault="00D204C0" w:rsidP="00EC05D8">
      <w:pPr>
        <w:pStyle w:val="Paragrafoelenco"/>
        <w:numPr>
          <w:ilvl w:val="0"/>
          <w:numId w:val="8"/>
        </w:numPr>
        <w:spacing w:after="100" w:line="300" w:lineRule="atLeast"/>
        <w:contextualSpacing w:val="0"/>
        <w:jc w:val="both"/>
        <w:rPr>
          <w:rFonts w:ascii="Times New Roman" w:hAnsi="Times New Roman"/>
          <w:b/>
          <w:sz w:val="24"/>
          <w:szCs w:val="24"/>
        </w:rPr>
      </w:pPr>
      <w:r w:rsidRPr="00986275">
        <w:rPr>
          <w:rFonts w:ascii="Times New Roman" w:hAnsi="Times New Roman"/>
          <w:spacing w:val="-2"/>
          <w:sz w:val="24"/>
          <w:szCs w:val="24"/>
        </w:rPr>
        <w:t>A tal fine</w:t>
      </w:r>
      <w:r w:rsidR="009A1CBE" w:rsidRPr="00986275">
        <w:rPr>
          <w:rFonts w:ascii="Times New Roman" w:hAnsi="Times New Roman"/>
          <w:spacing w:val="-2"/>
          <w:sz w:val="24"/>
          <w:szCs w:val="24"/>
        </w:rPr>
        <w:t xml:space="preserve"> </w:t>
      </w:r>
      <w:r w:rsidRPr="00986275">
        <w:rPr>
          <w:rFonts w:ascii="Times New Roman" w:hAnsi="Times New Roman"/>
          <w:spacing w:val="-2"/>
          <w:sz w:val="24"/>
          <w:szCs w:val="24"/>
        </w:rPr>
        <w:t xml:space="preserve">potrebbe ipotizzarsi, in sede di recepimento, l’adozione </w:t>
      </w:r>
      <w:r w:rsidR="00480D27" w:rsidRPr="00986275">
        <w:rPr>
          <w:rFonts w:ascii="Times New Roman" w:hAnsi="Times New Roman"/>
          <w:spacing w:val="-2"/>
          <w:sz w:val="24"/>
          <w:szCs w:val="24"/>
        </w:rPr>
        <w:t xml:space="preserve">di </w:t>
      </w:r>
      <w:r w:rsidR="0009187C" w:rsidRPr="00986275">
        <w:rPr>
          <w:rFonts w:ascii="Times New Roman" w:hAnsi="Times New Roman"/>
          <w:sz w:val="24"/>
          <w:szCs w:val="24"/>
        </w:rPr>
        <w:t xml:space="preserve">misure tese ad una maggiore </w:t>
      </w:r>
      <w:r w:rsidR="0009187C" w:rsidRPr="00986275">
        <w:rPr>
          <w:rFonts w:ascii="Times New Roman" w:hAnsi="Times New Roman"/>
          <w:b/>
          <w:sz w:val="24"/>
          <w:szCs w:val="24"/>
        </w:rPr>
        <w:t>responsabilizzazione delle imprese in fase esecutiva</w:t>
      </w:r>
      <w:r w:rsidR="0009187C" w:rsidRPr="00986275">
        <w:rPr>
          <w:rFonts w:ascii="Times New Roman" w:hAnsi="Times New Roman"/>
          <w:sz w:val="24"/>
          <w:szCs w:val="24"/>
        </w:rPr>
        <w:t>, prevedendosi, a titolo esemplificativo</w:t>
      </w:r>
      <w:r w:rsidR="000D4793" w:rsidRPr="00986275">
        <w:rPr>
          <w:rFonts w:ascii="Times New Roman" w:hAnsi="Times New Roman"/>
          <w:sz w:val="24"/>
          <w:szCs w:val="24"/>
        </w:rPr>
        <w:t>:</w:t>
      </w:r>
    </w:p>
    <w:p w:rsidR="00480D27" w:rsidRPr="00986275" w:rsidRDefault="00480D27" w:rsidP="00EC05D8">
      <w:pPr>
        <w:pStyle w:val="Paragrafoelenco"/>
        <w:numPr>
          <w:ilvl w:val="0"/>
          <w:numId w:val="3"/>
        </w:numPr>
        <w:spacing w:after="100" w:line="300" w:lineRule="atLeast"/>
        <w:contextualSpacing w:val="0"/>
        <w:jc w:val="both"/>
        <w:rPr>
          <w:rFonts w:ascii="Times New Roman" w:hAnsi="Times New Roman"/>
          <w:b/>
          <w:sz w:val="24"/>
          <w:szCs w:val="24"/>
        </w:rPr>
      </w:pPr>
      <w:r w:rsidRPr="00986275">
        <w:rPr>
          <w:rFonts w:ascii="Times New Roman" w:hAnsi="Times New Roman"/>
          <w:sz w:val="24"/>
          <w:szCs w:val="24"/>
        </w:rPr>
        <w:t xml:space="preserve">idonei meccanismi che, </w:t>
      </w:r>
      <w:r w:rsidRPr="00986275">
        <w:rPr>
          <w:rFonts w:ascii="Times New Roman" w:hAnsi="Times New Roman"/>
          <w:b/>
          <w:sz w:val="24"/>
          <w:szCs w:val="24"/>
        </w:rPr>
        <w:t>valorizzando la disposizione di cui all’art. 72 della Direttiva 2014/24/UE</w:t>
      </w:r>
      <w:r w:rsidRPr="00986275">
        <w:rPr>
          <w:rFonts w:ascii="Times New Roman" w:hAnsi="Times New Roman"/>
          <w:sz w:val="24"/>
          <w:szCs w:val="24"/>
        </w:rPr>
        <w:t xml:space="preserve"> (in materia di modifiche del contratto in corso d’esecuzione), </w:t>
      </w:r>
      <w:r w:rsidRPr="00986275">
        <w:rPr>
          <w:rFonts w:ascii="Times New Roman" w:hAnsi="Times New Roman"/>
          <w:b/>
          <w:sz w:val="24"/>
          <w:szCs w:val="24"/>
        </w:rPr>
        <w:t xml:space="preserve">assicurino un’effettiva limitazione all’introduzione di varianti nello sviluppo dei vari livelli progettuali, </w:t>
      </w:r>
      <w:r w:rsidRPr="00986275">
        <w:rPr>
          <w:rFonts w:ascii="Times New Roman" w:hAnsi="Times New Roman"/>
          <w:sz w:val="24"/>
          <w:szCs w:val="24"/>
        </w:rPr>
        <w:t xml:space="preserve">prevedendo la possibilità per l’amministrazione aggiudicatrice di recedere dal contratto ove le modifiche apportate tra i vari livelli progettuali comportino aumenti di prezzo o degli importi previsti dal contratto superiori ad una certe percentuale ovvero sostanziali modifiche alle opere; </w:t>
      </w:r>
    </w:p>
    <w:p w:rsidR="00480D27" w:rsidRPr="00986275" w:rsidRDefault="00480D27" w:rsidP="00EC05D8">
      <w:pPr>
        <w:pStyle w:val="Paragrafoelenco"/>
        <w:numPr>
          <w:ilvl w:val="0"/>
          <w:numId w:val="3"/>
        </w:numPr>
        <w:spacing w:after="100" w:line="300" w:lineRule="atLeast"/>
        <w:contextualSpacing w:val="0"/>
        <w:jc w:val="both"/>
        <w:rPr>
          <w:rFonts w:ascii="Times New Roman" w:hAnsi="Times New Roman"/>
          <w:b/>
          <w:sz w:val="24"/>
          <w:szCs w:val="24"/>
        </w:rPr>
      </w:pPr>
      <w:r w:rsidRPr="00986275">
        <w:rPr>
          <w:rFonts w:ascii="Times New Roman" w:hAnsi="Times New Roman"/>
          <w:sz w:val="24"/>
          <w:szCs w:val="24"/>
        </w:rPr>
        <w:t xml:space="preserve">misure tese ad </w:t>
      </w:r>
      <w:r w:rsidRPr="00986275">
        <w:rPr>
          <w:rFonts w:ascii="Times New Roman" w:hAnsi="Times New Roman"/>
          <w:b/>
          <w:sz w:val="24"/>
          <w:szCs w:val="24"/>
        </w:rPr>
        <w:t>evitare il ricorso strumentale, pretestuoso e anticipato all’istituto dell’accordo bonario,</w:t>
      </w:r>
      <w:r w:rsidRPr="00986275">
        <w:rPr>
          <w:rFonts w:ascii="Times New Roman" w:hAnsi="Times New Roman"/>
          <w:sz w:val="24"/>
          <w:szCs w:val="24"/>
        </w:rPr>
        <w:t xml:space="preserve"> prevedendo che qualora, al termine del procedimento di composizione bonaria, </w:t>
      </w:r>
      <w:r w:rsidRPr="00986275">
        <w:rPr>
          <w:rFonts w:ascii="Times New Roman" w:hAnsi="Times New Roman"/>
          <w:b/>
          <w:sz w:val="24"/>
          <w:szCs w:val="24"/>
        </w:rPr>
        <w:t>fosse accertata la manifesta “temerarietà” e “strumentalità” di alcune delle richieste dell’impresa</w:t>
      </w:r>
      <w:r w:rsidRPr="00986275">
        <w:rPr>
          <w:rFonts w:ascii="Times New Roman" w:hAnsi="Times New Roman"/>
          <w:sz w:val="24"/>
          <w:szCs w:val="24"/>
        </w:rPr>
        <w:t xml:space="preserve">, in quanto finalizzate a consentire il superamento della soglia di accesso alla procedura di accordo bonario, </w:t>
      </w:r>
      <w:r w:rsidRPr="00986275">
        <w:rPr>
          <w:rFonts w:ascii="Times New Roman" w:hAnsi="Times New Roman"/>
          <w:b/>
          <w:sz w:val="24"/>
          <w:szCs w:val="24"/>
        </w:rPr>
        <w:t>la stessa dovrebbe ritenersi come non attivata;</w:t>
      </w:r>
    </w:p>
    <w:p w:rsidR="00480D27" w:rsidRPr="00986275" w:rsidRDefault="00480D27" w:rsidP="00EC05D8">
      <w:pPr>
        <w:pStyle w:val="Paragrafoelenco"/>
        <w:numPr>
          <w:ilvl w:val="0"/>
          <w:numId w:val="3"/>
        </w:numPr>
        <w:spacing w:after="100" w:line="300" w:lineRule="atLeast"/>
        <w:contextualSpacing w:val="0"/>
        <w:jc w:val="both"/>
        <w:rPr>
          <w:rFonts w:ascii="Times New Roman" w:hAnsi="Times New Roman"/>
          <w:b/>
          <w:sz w:val="24"/>
          <w:szCs w:val="24"/>
        </w:rPr>
      </w:pPr>
      <w:r w:rsidRPr="00986275">
        <w:rPr>
          <w:rFonts w:ascii="Times New Roman" w:hAnsi="Times New Roman"/>
          <w:sz w:val="24"/>
          <w:szCs w:val="24"/>
        </w:rPr>
        <w:t xml:space="preserve">la previsione della facoltà per la stazione appaltante di </w:t>
      </w:r>
      <w:r w:rsidRPr="00986275">
        <w:rPr>
          <w:rFonts w:ascii="Times New Roman" w:hAnsi="Times New Roman"/>
          <w:b/>
          <w:sz w:val="24"/>
          <w:szCs w:val="24"/>
        </w:rPr>
        <w:t>recedere anticipatamente</w:t>
      </w:r>
      <w:r w:rsidRPr="00986275">
        <w:rPr>
          <w:rFonts w:ascii="Times New Roman" w:hAnsi="Times New Roman"/>
          <w:sz w:val="24"/>
          <w:szCs w:val="24"/>
        </w:rPr>
        <w:t xml:space="preserve"> dal contratto nel caso in cui le </w:t>
      </w:r>
      <w:r w:rsidRPr="00986275">
        <w:rPr>
          <w:rFonts w:ascii="Times New Roman" w:hAnsi="Times New Roman"/>
          <w:b/>
          <w:sz w:val="24"/>
          <w:szCs w:val="24"/>
        </w:rPr>
        <w:t>riserve iscritte dall’impresa esecutrice raggiungano un ammontare molto elevato</w:t>
      </w:r>
      <w:r w:rsidRPr="00986275">
        <w:rPr>
          <w:rFonts w:ascii="Times New Roman" w:hAnsi="Times New Roman"/>
          <w:sz w:val="24"/>
          <w:szCs w:val="24"/>
        </w:rPr>
        <w:t>.</w:t>
      </w:r>
    </w:p>
    <w:p w:rsidR="00D204C0" w:rsidRPr="00986275" w:rsidRDefault="00480D27" w:rsidP="00EC05D8">
      <w:pPr>
        <w:pStyle w:val="Paragrafoelenco"/>
        <w:numPr>
          <w:ilvl w:val="0"/>
          <w:numId w:val="9"/>
        </w:numPr>
        <w:spacing w:after="100" w:line="300" w:lineRule="atLeast"/>
        <w:contextualSpacing w:val="0"/>
        <w:jc w:val="both"/>
        <w:rPr>
          <w:rFonts w:ascii="Times New Roman" w:hAnsi="Times New Roman"/>
          <w:b/>
          <w:sz w:val="24"/>
          <w:szCs w:val="24"/>
        </w:rPr>
      </w:pPr>
      <w:r w:rsidRPr="00986275">
        <w:rPr>
          <w:rFonts w:ascii="Times New Roman" w:hAnsi="Times New Roman"/>
          <w:sz w:val="24"/>
          <w:szCs w:val="24"/>
        </w:rPr>
        <w:t xml:space="preserve">Si potrebbe, inoltre, valutare di </w:t>
      </w:r>
      <w:r w:rsidRPr="00986275">
        <w:rPr>
          <w:rFonts w:ascii="Times New Roman" w:hAnsi="Times New Roman"/>
          <w:b/>
          <w:sz w:val="24"/>
          <w:szCs w:val="24"/>
        </w:rPr>
        <w:t xml:space="preserve">estendere </w:t>
      </w:r>
      <w:r w:rsidR="00D204C0" w:rsidRPr="00986275">
        <w:rPr>
          <w:rFonts w:ascii="Times New Roman" w:hAnsi="Times New Roman"/>
          <w:b/>
          <w:sz w:val="24"/>
          <w:szCs w:val="24"/>
        </w:rPr>
        <w:t>l’applicazione della garanzia globale di esecuzione</w:t>
      </w:r>
      <w:r w:rsidR="00D204C0" w:rsidRPr="00986275">
        <w:rPr>
          <w:rFonts w:ascii="Times New Roman" w:hAnsi="Times New Roman"/>
          <w:sz w:val="24"/>
          <w:szCs w:val="24"/>
        </w:rPr>
        <w:t xml:space="preserve"> </w:t>
      </w:r>
      <w:r w:rsidR="00D204C0" w:rsidRPr="00986275">
        <w:rPr>
          <w:rFonts w:ascii="Times New Roman" w:hAnsi="Times New Roman"/>
          <w:i/>
          <w:sz w:val="24"/>
          <w:szCs w:val="24"/>
        </w:rPr>
        <w:t>ex</w:t>
      </w:r>
      <w:r w:rsidR="00D204C0" w:rsidRPr="00986275">
        <w:rPr>
          <w:rFonts w:ascii="Times New Roman" w:hAnsi="Times New Roman"/>
          <w:sz w:val="24"/>
          <w:szCs w:val="24"/>
        </w:rPr>
        <w:t xml:space="preserve"> art. 129, co. 3 Codice, prevedendosi il ricorso alla medesima, oltre che per gli appalti di progettazione esecutiva ed esecuzione di lavori con base d’asta superiore a 75 milioni di euro e per gli affidamenti a contraente generale, anche per gli a</w:t>
      </w:r>
      <w:r w:rsidR="002D3E3E" w:rsidRPr="00986275">
        <w:rPr>
          <w:rFonts w:ascii="Times New Roman" w:hAnsi="Times New Roman"/>
          <w:sz w:val="24"/>
          <w:szCs w:val="24"/>
        </w:rPr>
        <w:t xml:space="preserve">ppalti di medie e piccole dimensioni, in modo tale </w:t>
      </w:r>
      <w:r w:rsidR="002D3E3E" w:rsidRPr="00A63B71">
        <w:rPr>
          <w:rFonts w:ascii="Times New Roman" w:hAnsi="Times New Roman"/>
          <w:sz w:val="24"/>
          <w:szCs w:val="24"/>
          <w:u w:val="single"/>
        </w:rPr>
        <w:t>da “spalmare” il rischio assunto dalle assicurazioni su un numero elevato di contratti</w:t>
      </w:r>
      <w:r w:rsidR="002D3E3E" w:rsidRPr="00986275">
        <w:rPr>
          <w:rFonts w:ascii="Times New Roman" w:hAnsi="Times New Roman"/>
          <w:sz w:val="24"/>
          <w:szCs w:val="24"/>
        </w:rPr>
        <w:t>;</w:t>
      </w:r>
    </w:p>
    <w:p w:rsidR="002D3E3E" w:rsidRPr="00986275" w:rsidRDefault="00886B19" w:rsidP="00EC05D8">
      <w:pPr>
        <w:pStyle w:val="Paragrafoelenco"/>
        <w:numPr>
          <w:ilvl w:val="0"/>
          <w:numId w:val="9"/>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Appaiono, infine, opportune </w:t>
      </w:r>
      <w:r w:rsidR="002D3E3E" w:rsidRPr="00986275">
        <w:rPr>
          <w:rFonts w:ascii="Times New Roman" w:hAnsi="Times New Roman"/>
          <w:sz w:val="24"/>
          <w:szCs w:val="24"/>
        </w:rPr>
        <w:t>misure intese a</w:t>
      </w:r>
      <w:r w:rsidR="002D3E3E" w:rsidRPr="00986275">
        <w:rPr>
          <w:rFonts w:ascii="Times New Roman" w:hAnsi="Times New Roman"/>
          <w:b/>
          <w:sz w:val="24"/>
          <w:szCs w:val="24"/>
        </w:rPr>
        <w:t xml:space="preserve"> semplificare ed accelerare le procedure che regolano il funzionamento della conferenza di servizi, </w:t>
      </w:r>
      <w:r w:rsidR="002D3E3E" w:rsidRPr="00986275">
        <w:rPr>
          <w:rFonts w:ascii="Times New Roman" w:hAnsi="Times New Roman"/>
          <w:sz w:val="24"/>
          <w:szCs w:val="24"/>
        </w:rPr>
        <w:t>con riferimento all’oggetto da concordare d’intesa nonché ai tempi ed alle modalità di conclusione dei lavori della conferenza medesima in caso di dissenso da part</w:t>
      </w:r>
      <w:r w:rsidR="00151E92" w:rsidRPr="00986275">
        <w:rPr>
          <w:rFonts w:ascii="Times New Roman" w:hAnsi="Times New Roman"/>
          <w:sz w:val="24"/>
          <w:szCs w:val="24"/>
        </w:rPr>
        <w:t xml:space="preserve">e di una o più Amministrazioni </w:t>
      </w:r>
      <w:r w:rsidR="002D3E3E" w:rsidRPr="00986275">
        <w:rPr>
          <w:rFonts w:ascii="Times New Roman" w:hAnsi="Times New Roman"/>
          <w:sz w:val="24"/>
          <w:szCs w:val="24"/>
        </w:rPr>
        <w:t>centrali o peri</w:t>
      </w:r>
      <w:r w:rsidR="00151E92" w:rsidRPr="00986275">
        <w:rPr>
          <w:rFonts w:ascii="Times New Roman" w:hAnsi="Times New Roman"/>
          <w:sz w:val="24"/>
          <w:szCs w:val="24"/>
        </w:rPr>
        <w:t>feriche</w:t>
      </w:r>
      <w:r w:rsidR="0009187C" w:rsidRPr="00986275">
        <w:rPr>
          <w:rFonts w:ascii="Times New Roman" w:hAnsi="Times New Roman"/>
          <w:sz w:val="24"/>
          <w:szCs w:val="24"/>
        </w:rPr>
        <w:t>.</w:t>
      </w:r>
    </w:p>
    <w:p w:rsidR="00851BDD" w:rsidRPr="00986275" w:rsidRDefault="00851BDD" w:rsidP="00396B05">
      <w:pPr>
        <w:spacing w:after="100" w:line="300" w:lineRule="atLeast"/>
        <w:jc w:val="both"/>
        <w:rPr>
          <w:rFonts w:ascii="Times New Roman" w:hAnsi="Times New Roman" w:cs="Times New Roman"/>
          <w:sz w:val="24"/>
          <w:szCs w:val="24"/>
        </w:rPr>
      </w:pPr>
    </w:p>
    <w:p w:rsidR="00886B19" w:rsidRPr="00986275" w:rsidRDefault="00396B05" w:rsidP="00EC05D8">
      <w:pPr>
        <w:pStyle w:val="Paragrafoelenco"/>
        <w:numPr>
          <w:ilvl w:val="0"/>
          <w:numId w:val="15"/>
        </w:numPr>
        <w:spacing w:after="100" w:line="300" w:lineRule="atLeast"/>
        <w:jc w:val="both"/>
        <w:rPr>
          <w:rFonts w:ascii="Times New Roman" w:hAnsi="Times New Roman"/>
          <w:b/>
          <w:sz w:val="24"/>
          <w:szCs w:val="24"/>
        </w:rPr>
      </w:pPr>
      <w:r>
        <w:rPr>
          <w:rFonts w:ascii="Times New Roman" w:hAnsi="Times New Roman"/>
          <w:b/>
          <w:sz w:val="24"/>
          <w:szCs w:val="24"/>
        </w:rPr>
        <w:t>R</w:t>
      </w:r>
      <w:r w:rsidR="00D95E85" w:rsidRPr="00986275">
        <w:rPr>
          <w:rFonts w:ascii="Times New Roman" w:hAnsi="Times New Roman"/>
          <w:b/>
          <w:sz w:val="24"/>
          <w:szCs w:val="24"/>
        </w:rPr>
        <w:t xml:space="preserve">azionalizzazione dei metodi </w:t>
      </w:r>
      <w:r w:rsidR="00886B19" w:rsidRPr="00986275">
        <w:rPr>
          <w:rFonts w:ascii="Times New Roman" w:hAnsi="Times New Roman"/>
          <w:b/>
          <w:sz w:val="24"/>
          <w:szCs w:val="24"/>
        </w:rPr>
        <w:t xml:space="preserve">alternativi </w:t>
      </w:r>
      <w:r w:rsidR="00D95E85" w:rsidRPr="00986275">
        <w:rPr>
          <w:rFonts w:ascii="Times New Roman" w:hAnsi="Times New Roman"/>
          <w:b/>
          <w:sz w:val="24"/>
          <w:szCs w:val="24"/>
        </w:rPr>
        <w:t>di risoluzione delle controversie, anche in materia di esecuzione del contratto</w:t>
      </w:r>
      <w:r w:rsidR="00886B19" w:rsidRPr="00986275">
        <w:rPr>
          <w:rFonts w:ascii="Times New Roman" w:hAnsi="Times New Roman"/>
          <w:b/>
          <w:sz w:val="24"/>
          <w:szCs w:val="24"/>
        </w:rPr>
        <w:t xml:space="preserve"> </w:t>
      </w:r>
    </w:p>
    <w:p w:rsidR="00730C4C" w:rsidRDefault="00730C4C" w:rsidP="00EC05D8">
      <w:pPr>
        <w:pStyle w:val="Paragrafoelenco"/>
        <w:numPr>
          <w:ilvl w:val="0"/>
          <w:numId w:val="11"/>
        </w:numPr>
        <w:spacing w:after="100" w:line="300" w:lineRule="atLeast"/>
        <w:contextualSpacing w:val="0"/>
        <w:jc w:val="both"/>
        <w:rPr>
          <w:rFonts w:ascii="Times New Roman" w:hAnsi="Times New Roman"/>
          <w:sz w:val="24"/>
          <w:szCs w:val="24"/>
        </w:rPr>
      </w:pPr>
      <w:r>
        <w:rPr>
          <w:rFonts w:ascii="Times New Roman" w:hAnsi="Times New Roman"/>
          <w:sz w:val="24"/>
          <w:szCs w:val="24"/>
        </w:rPr>
        <w:t>Quanto detto sopra può essere letto anche in correlazione ad un altro principio direttivo, quello della razionalizzazione dei metodi alternativi di risoluzione delle controversie.</w:t>
      </w:r>
    </w:p>
    <w:p w:rsidR="001C4ED3" w:rsidRPr="00986275" w:rsidRDefault="00AE6585" w:rsidP="00EC05D8">
      <w:pPr>
        <w:pStyle w:val="Paragrafoelenco"/>
        <w:numPr>
          <w:ilvl w:val="0"/>
          <w:numId w:val="11"/>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Tale criterio direttivo - </w:t>
      </w:r>
      <w:r w:rsidRPr="00A63B71">
        <w:rPr>
          <w:rFonts w:ascii="Times New Roman" w:hAnsi="Times New Roman"/>
          <w:sz w:val="24"/>
          <w:szCs w:val="24"/>
          <w:u w:val="single"/>
        </w:rPr>
        <w:t xml:space="preserve">pur non </w:t>
      </w:r>
      <w:r w:rsidRPr="00A63B71">
        <w:rPr>
          <w:rFonts w:ascii="Times New Roman" w:hAnsi="Times New Roman"/>
          <w:b/>
          <w:sz w:val="24"/>
          <w:szCs w:val="24"/>
          <w:u w:val="single"/>
        </w:rPr>
        <w:t>trovando un immediato riscontro nel</w:t>
      </w:r>
      <w:r w:rsidR="00886B19" w:rsidRPr="00A63B71">
        <w:rPr>
          <w:rFonts w:ascii="Times New Roman" w:hAnsi="Times New Roman"/>
          <w:b/>
          <w:sz w:val="24"/>
          <w:szCs w:val="24"/>
          <w:u w:val="single"/>
        </w:rPr>
        <w:t>le</w:t>
      </w:r>
      <w:r w:rsidRPr="00A63B71">
        <w:rPr>
          <w:rFonts w:ascii="Times New Roman" w:hAnsi="Times New Roman"/>
          <w:b/>
          <w:sz w:val="24"/>
          <w:szCs w:val="24"/>
          <w:u w:val="single"/>
        </w:rPr>
        <w:t xml:space="preserve"> direttive</w:t>
      </w:r>
      <w:r w:rsidR="00886B19" w:rsidRPr="00A63B71">
        <w:rPr>
          <w:rFonts w:ascii="Times New Roman" w:hAnsi="Times New Roman"/>
          <w:sz w:val="24"/>
          <w:szCs w:val="24"/>
          <w:u w:val="single"/>
        </w:rPr>
        <w:t xml:space="preserve"> europee</w:t>
      </w:r>
      <w:r w:rsidR="00886B19" w:rsidRPr="00986275">
        <w:rPr>
          <w:rFonts w:ascii="Times New Roman" w:hAnsi="Times New Roman"/>
          <w:sz w:val="24"/>
          <w:szCs w:val="24"/>
        </w:rPr>
        <w:t xml:space="preserve"> </w:t>
      </w:r>
      <w:r w:rsidRPr="00986275">
        <w:rPr>
          <w:rFonts w:ascii="Times New Roman" w:hAnsi="Times New Roman"/>
          <w:sz w:val="24"/>
          <w:szCs w:val="24"/>
        </w:rPr>
        <w:t xml:space="preserve">– </w:t>
      </w:r>
      <w:r w:rsidRPr="00986275">
        <w:rPr>
          <w:rFonts w:ascii="Times New Roman" w:hAnsi="Times New Roman"/>
          <w:b/>
          <w:sz w:val="24"/>
          <w:szCs w:val="24"/>
        </w:rPr>
        <w:t>si pone</w:t>
      </w:r>
      <w:r w:rsidR="00A63B71">
        <w:rPr>
          <w:rFonts w:ascii="Times New Roman" w:hAnsi="Times New Roman"/>
          <w:b/>
          <w:sz w:val="24"/>
          <w:szCs w:val="24"/>
        </w:rPr>
        <w:t>,</w:t>
      </w:r>
      <w:r w:rsidRPr="00986275">
        <w:rPr>
          <w:rFonts w:ascii="Times New Roman" w:hAnsi="Times New Roman"/>
          <w:sz w:val="24"/>
          <w:szCs w:val="24"/>
        </w:rPr>
        <w:t xml:space="preserve"> infatti</w:t>
      </w:r>
      <w:r w:rsidR="00A63B71">
        <w:rPr>
          <w:rFonts w:ascii="Times New Roman" w:hAnsi="Times New Roman"/>
          <w:sz w:val="24"/>
          <w:szCs w:val="24"/>
        </w:rPr>
        <w:t>,</w:t>
      </w:r>
      <w:r w:rsidRPr="00986275">
        <w:rPr>
          <w:rFonts w:ascii="Times New Roman" w:hAnsi="Times New Roman"/>
          <w:sz w:val="24"/>
          <w:szCs w:val="24"/>
        </w:rPr>
        <w:t xml:space="preserve"> </w:t>
      </w:r>
      <w:r w:rsidRPr="00986275">
        <w:rPr>
          <w:rFonts w:ascii="Times New Roman" w:hAnsi="Times New Roman"/>
          <w:b/>
          <w:sz w:val="24"/>
          <w:szCs w:val="24"/>
        </w:rPr>
        <w:t>in linea con il generale orientamento di favore espresso per tali meccanismi di risoluzione delle controversie dall’Unione europea</w:t>
      </w:r>
      <w:r w:rsidRPr="00986275">
        <w:rPr>
          <w:rFonts w:ascii="Times New Roman" w:hAnsi="Times New Roman"/>
          <w:sz w:val="24"/>
          <w:szCs w:val="24"/>
        </w:rPr>
        <w:t xml:space="preserve"> </w:t>
      </w:r>
      <w:r w:rsidR="00886B19" w:rsidRPr="00986275">
        <w:rPr>
          <w:rFonts w:ascii="Times New Roman" w:hAnsi="Times New Roman"/>
          <w:sz w:val="24"/>
          <w:szCs w:val="24"/>
        </w:rPr>
        <w:t>e</w:t>
      </w:r>
      <w:r w:rsidRPr="00986275">
        <w:rPr>
          <w:rFonts w:ascii="Times New Roman" w:hAnsi="Times New Roman"/>
          <w:sz w:val="24"/>
          <w:szCs w:val="24"/>
        </w:rPr>
        <w:t xml:space="preserve">d </w:t>
      </w:r>
      <w:r w:rsidRPr="00986275">
        <w:rPr>
          <w:rFonts w:ascii="Times New Roman" w:hAnsi="Times New Roman"/>
          <w:b/>
          <w:sz w:val="24"/>
          <w:szCs w:val="24"/>
        </w:rPr>
        <w:t>offre altresì un importante contributo in termini di</w:t>
      </w:r>
      <w:r w:rsidRPr="00986275">
        <w:rPr>
          <w:rFonts w:ascii="Times New Roman" w:hAnsi="Times New Roman"/>
          <w:sz w:val="24"/>
          <w:szCs w:val="24"/>
        </w:rPr>
        <w:t xml:space="preserve"> deflazione del</w:t>
      </w:r>
      <w:r w:rsidR="00D95E85" w:rsidRPr="00986275">
        <w:rPr>
          <w:rFonts w:ascii="Times New Roman" w:hAnsi="Times New Roman"/>
          <w:b/>
          <w:sz w:val="24"/>
          <w:szCs w:val="24"/>
        </w:rPr>
        <w:t xml:space="preserve"> contenzioso</w:t>
      </w:r>
      <w:r w:rsidRPr="00986275">
        <w:rPr>
          <w:rFonts w:ascii="Times New Roman" w:hAnsi="Times New Roman"/>
          <w:b/>
          <w:sz w:val="24"/>
          <w:szCs w:val="24"/>
        </w:rPr>
        <w:t xml:space="preserve"> giudiziario</w:t>
      </w:r>
      <w:r w:rsidR="00D95E85" w:rsidRPr="00986275">
        <w:rPr>
          <w:rFonts w:ascii="Times New Roman" w:hAnsi="Times New Roman"/>
          <w:sz w:val="24"/>
          <w:szCs w:val="24"/>
        </w:rPr>
        <w:t>, che, come noto, rappresenta una delle principali criticità del settore degli appalti pubblici.</w:t>
      </w:r>
    </w:p>
    <w:p w:rsidR="00D95E85" w:rsidRPr="00986275" w:rsidRDefault="00D95E85" w:rsidP="00EC05D8">
      <w:pPr>
        <w:pStyle w:val="Paragrafoelenco"/>
        <w:numPr>
          <w:ilvl w:val="0"/>
          <w:numId w:val="11"/>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In tale contesto si evidenzia, in particolare, l’opportunità di prevedere: </w:t>
      </w:r>
    </w:p>
    <w:p w:rsidR="004B6364" w:rsidRPr="00986275" w:rsidRDefault="00D95E85" w:rsidP="00EC05D8">
      <w:pPr>
        <w:numPr>
          <w:ilvl w:val="0"/>
          <w:numId w:val="2"/>
        </w:numPr>
        <w:spacing w:after="100" w:line="300" w:lineRule="atLeast"/>
        <w:jc w:val="both"/>
        <w:rPr>
          <w:rFonts w:ascii="Times New Roman" w:hAnsi="Times New Roman"/>
          <w:sz w:val="24"/>
          <w:szCs w:val="24"/>
        </w:rPr>
      </w:pPr>
      <w:r w:rsidRPr="00986275">
        <w:rPr>
          <w:rFonts w:ascii="Times New Roman" w:hAnsi="Times New Roman"/>
          <w:b/>
          <w:sz w:val="24"/>
          <w:szCs w:val="24"/>
        </w:rPr>
        <w:t>misure di potenziamento dell’istituto dell’accordo bonario</w:t>
      </w:r>
      <w:r w:rsidRPr="00986275">
        <w:rPr>
          <w:rFonts w:ascii="Times New Roman" w:hAnsi="Times New Roman"/>
          <w:sz w:val="24"/>
          <w:szCs w:val="24"/>
        </w:rPr>
        <w:t xml:space="preserve"> come strumento di risoluzione anticipata delle controversie</w:t>
      </w:r>
      <w:r w:rsidRPr="00986275">
        <w:rPr>
          <w:rFonts w:ascii="Times New Roman" w:hAnsi="Times New Roman"/>
          <w:b/>
          <w:sz w:val="24"/>
          <w:szCs w:val="24"/>
        </w:rPr>
        <w:t xml:space="preserve"> attraverso un maggiore supporto all’attività del RUP</w:t>
      </w:r>
      <w:r w:rsidRPr="00986275">
        <w:rPr>
          <w:rFonts w:ascii="Times New Roman" w:hAnsi="Times New Roman"/>
          <w:sz w:val="24"/>
          <w:szCs w:val="24"/>
        </w:rPr>
        <w:t>, sia in sede di valutazione in ordine all’ammissibilità e fondatezza delle riserve sia in sede di predisposizione delle proposta di accordo bonario (se di sua competenza), mediante l’acquisizione di pareri da parte di strutture tecniche all’uopo preposte;</w:t>
      </w:r>
    </w:p>
    <w:p w:rsidR="00D95E85" w:rsidRPr="00986275" w:rsidRDefault="004B6364" w:rsidP="00EC05D8">
      <w:pPr>
        <w:numPr>
          <w:ilvl w:val="0"/>
          <w:numId w:val="2"/>
        </w:numPr>
        <w:spacing w:after="100" w:line="300" w:lineRule="atLeast"/>
        <w:jc w:val="both"/>
        <w:rPr>
          <w:rFonts w:ascii="Times New Roman" w:hAnsi="Times New Roman"/>
          <w:sz w:val="24"/>
          <w:szCs w:val="24"/>
        </w:rPr>
      </w:pPr>
      <w:r w:rsidRPr="00986275">
        <w:rPr>
          <w:rFonts w:ascii="Times New Roman" w:hAnsi="Times New Roman"/>
          <w:b/>
          <w:sz w:val="24"/>
          <w:szCs w:val="24"/>
        </w:rPr>
        <w:t xml:space="preserve">l’implementazione delle attività di precontenzioso facenti capo all’A.N.AC. </w:t>
      </w:r>
      <w:r w:rsidRPr="00986275">
        <w:rPr>
          <w:rFonts w:ascii="Times New Roman" w:hAnsi="Times New Roman"/>
          <w:i/>
          <w:sz w:val="24"/>
          <w:szCs w:val="24"/>
        </w:rPr>
        <w:t>ex</w:t>
      </w:r>
      <w:r w:rsidRPr="00986275">
        <w:rPr>
          <w:rFonts w:ascii="Times New Roman" w:hAnsi="Times New Roman"/>
          <w:sz w:val="24"/>
          <w:szCs w:val="24"/>
        </w:rPr>
        <w:t xml:space="preserve"> art. 6, co. 7 D.Lgs. n. 163/2006, mediante l’introduzione di un strumento di risoluzione alternativa delle controversie di tipo conciliativo e su base meramente facoltativa;</w:t>
      </w:r>
    </w:p>
    <w:p w:rsidR="00D95E85" w:rsidRPr="00986275" w:rsidRDefault="00D95E85" w:rsidP="00EC05D8">
      <w:pPr>
        <w:numPr>
          <w:ilvl w:val="0"/>
          <w:numId w:val="2"/>
        </w:numPr>
        <w:spacing w:after="100" w:line="300" w:lineRule="atLeast"/>
        <w:jc w:val="both"/>
        <w:rPr>
          <w:rFonts w:ascii="Times New Roman" w:hAnsi="Times New Roman"/>
          <w:sz w:val="24"/>
          <w:szCs w:val="24"/>
        </w:rPr>
      </w:pPr>
      <w:r w:rsidRPr="00986275">
        <w:rPr>
          <w:rFonts w:ascii="Times New Roman" w:hAnsi="Times New Roman"/>
          <w:b/>
          <w:sz w:val="24"/>
          <w:szCs w:val="24"/>
        </w:rPr>
        <w:t>interventi intesi ad estendere l’ambito soggettivo di applicazione</w:t>
      </w:r>
      <w:r w:rsidRPr="00986275">
        <w:rPr>
          <w:rFonts w:ascii="Times New Roman" w:hAnsi="Times New Roman"/>
          <w:sz w:val="24"/>
          <w:szCs w:val="24"/>
        </w:rPr>
        <w:t xml:space="preserve"> dell’istituto della</w:t>
      </w:r>
      <w:r w:rsidRPr="00986275">
        <w:rPr>
          <w:rFonts w:ascii="Times New Roman" w:hAnsi="Times New Roman"/>
          <w:b/>
          <w:sz w:val="24"/>
          <w:szCs w:val="24"/>
        </w:rPr>
        <w:t xml:space="preserve"> garanzia globale di esecuzione</w:t>
      </w:r>
      <w:r w:rsidRPr="00986275">
        <w:rPr>
          <w:rFonts w:ascii="Times New Roman" w:hAnsi="Times New Roman"/>
          <w:sz w:val="24"/>
          <w:szCs w:val="24"/>
        </w:rPr>
        <w:t xml:space="preserve">, disciplinata, in applicazione dell’art. 129 del Codice, </w:t>
      </w:r>
      <w:r w:rsidR="004B6364" w:rsidRPr="00986275">
        <w:rPr>
          <w:rFonts w:ascii="Times New Roman" w:hAnsi="Times New Roman"/>
          <w:sz w:val="24"/>
          <w:szCs w:val="24"/>
        </w:rPr>
        <w:t>dal regolamento attuativo</w:t>
      </w:r>
      <w:r w:rsidRPr="00986275">
        <w:rPr>
          <w:rFonts w:ascii="Times New Roman" w:hAnsi="Times New Roman"/>
          <w:sz w:val="24"/>
          <w:szCs w:val="24"/>
        </w:rPr>
        <w:t>. Ciò in quanto tale istituto potrebbe costituire uno strumento indiretto di deflazione del contenzioso e, al contempo, di qualificazione delle imprese. Il rilascio della garanzia, infatti, non potrà essere conseguito se non da imprese che i garanti considerino affidabili non solo sul piano finanziario ma soprattutto sul piano della efficienza aziendale, in modo da considerare marginali i rischi di incapacità o abbandono del cantiere. Al contempo, la garanzia globale di esecuzione dovrebbe consentire alle s.a. di conseguire, in caso di inadempienza grave delle imprese esecutrici, non già il semplice risarcimento monetario, ma la stessa realizzazione sollecita dell'opera, che costituisce l'obiettivo primario dei soggetti aggiudicatori.</w:t>
      </w:r>
    </w:p>
    <w:p w:rsidR="00D95E85" w:rsidRPr="00986275" w:rsidRDefault="00D95E85" w:rsidP="00EC05D8">
      <w:pPr>
        <w:numPr>
          <w:ilvl w:val="0"/>
          <w:numId w:val="2"/>
        </w:numPr>
        <w:spacing w:after="100" w:line="300" w:lineRule="atLeast"/>
        <w:jc w:val="both"/>
        <w:rPr>
          <w:rFonts w:ascii="Times New Roman" w:hAnsi="Times New Roman"/>
          <w:b/>
          <w:sz w:val="24"/>
          <w:szCs w:val="24"/>
        </w:rPr>
      </w:pPr>
      <w:r w:rsidRPr="00986275">
        <w:rPr>
          <w:rFonts w:ascii="Times New Roman" w:hAnsi="Times New Roman"/>
          <w:b/>
          <w:sz w:val="24"/>
          <w:szCs w:val="24"/>
        </w:rPr>
        <w:t>misure intese a devolvere la fase giurisdizionale della controversia successivamente all’avvenuto collaudo finale dell’opera;</w:t>
      </w:r>
    </w:p>
    <w:p w:rsidR="00D95E85" w:rsidRPr="00986275" w:rsidRDefault="00D95E85" w:rsidP="00EC05D8">
      <w:pPr>
        <w:numPr>
          <w:ilvl w:val="0"/>
          <w:numId w:val="2"/>
        </w:numPr>
        <w:spacing w:after="100" w:line="300" w:lineRule="atLeast"/>
        <w:jc w:val="both"/>
        <w:rPr>
          <w:rFonts w:ascii="Times New Roman" w:hAnsi="Times New Roman"/>
          <w:b/>
          <w:sz w:val="24"/>
          <w:szCs w:val="24"/>
        </w:rPr>
      </w:pPr>
      <w:r w:rsidRPr="00986275">
        <w:rPr>
          <w:rFonts w:ascii="Times New Roman" w:hAnsi="Times New Roman"/>
          <w:sz w:val="24"/>
          <w:szCs w:val="24"/>
        </w:rPr>
        <w:t xml:space="preserve">individuazione di un foro esclusivo della </w:t>
      </w:r>
      <w:r w:rsidRPr="00986275">
        <w:rPr>
          <w:rFonts w:ascii="Times New Roman" w:hAnsi="Times New Roman"/>
          <w:b/>
          <w:sz w:val="24"/>
          <w:szCs w:val="24"/>
        </w:rPr>
        <w:t xml:space="preserve">magistratura amministrativa e ordinaria </w:t>
      </w:r>
      <w:r w:rsidRPr="00986275">
        <w:rPr>
          <w:rFonts w:ascii="Times New Roman" w:hAnsi="Times New Roman"/>
          <w:sz w:val="24"/>
          <w:szCs w:val="24"/>
        </w:rPr>
        <w:t>per l’esame delle controversie afferenti rispettivamente la fase di affidamento e di esecuzione dei contratti pubblici, ass</w:t>
      </w:r>
      <w:r w:rsidR="00A3031C" w:rsidRPr="00986275">
        <w:rPr>
          <w:rFonts w:ascii="Times New Roman" w:hAnsi="Times New Roman"/>
          <w:sz w:val="24"/>
          <w:szCs w:val="24"/>
        </w:rPr>
        <w:t xml:space="preserve">icurando la massima competenza </w:t>
      </w:r>
      <w:r w:rsidRPr="00986275">
        <w:rPr>
          <w:rFonts w:ascii="Times New Roman" w:hAnsi="Times New Roman"/>
          <w:sz w:val="24"/>
          <w:szCs w:val="24"/>
        </w:rPr>
        <w:t>e rapidità alla decisione;</w:t>
      </w:r>
    </w:p>
    <w:p w:rsidR="00D95E85" w:rsidRPr="00986275" w:rsidRDefault="00D95E85" w:rsidP="00EC05D8">
      <w:pPr>
        <w:numPr>
          <w:ilvl w:val="0"/>
          <w:numId w:val="2"/>
        </w:numPr>
        <w:spacing w:after="100" w:line="300" w:lineRule="atLeast"/>
        <w:jc w:val="both"/>
        <w:rPr>
          <w:rFonts w:ascii="Times New Roman" w:hAnsi="Times New Roman"/>
          <w:sz w:val="24"/>
          <w:szCs w:val="24"/>
        </w:rPr>
      </w:pPr>
      <w:r w:rsidRPr="00986275">
        <w:rPr>
          <w:rFonts w:ascii="Times New Roman" w:hAnsi="Times New Roman"/>
          <w:sz w:val="24"/>
          <w:szCs w:val="24"/>
        </w:rPr>
        <w:t xml:space="preserve">misure intese ad ampliare l’ambito di applicazione e a semplificare la struttura procedurale del </w:t>
      </w:r>
      <w:r w:rsidRPr="00986275">
        <w:rPr>
          <w:rFonts w:ascii="Times New Roman" w:hAnsi="Times New Roman"/>
          <w:b/>
          <w:sz w:val="24"/>
          <w:szCs w:val="24"/>
        </w:rPr>
        <w:t xml:space="preserve">modello CIS </w:t>
      </w:r>
      <w:r w:rsidRPr="00986275">
        <w:rPr>
          <w:rFonts w:ascii="Times New Roman" w:hAnsi="Times New Roman"/>
          <w:b/>
          <w:i/>
          <w:sz w:val="24"/>
          <w:szCs w:val="24"/>
        </w:rPr>
        <w:t>ex</w:t>
      </w:r>
      <w:r w:rsidRPr="00986275">
        <w:rPr>
          <w:rFonts w:ascii="Times New Roman" w:hAnsi="Times New Roman"/>
          <w:b/>
          <w:sz w:val="24"/>
          <w:szCs w:val="24"/>
        </w:rPr>
        <w:t xml:space="preserve"> art. 6 del D. Lgs. 88/2011</w:t>
      </w:r>
      <w:r w:rsidRPr="00986275">
        <w:rPr>
          <w:rFonts w:ascii="Times New Roman" w:hAnsi="Times New Roman"/>
          <w:sz w:val="24"/>
          <w:szCs w:val="24"/>
        </w:rPr>
        <w:t xml:space="preserve">, trattandosi di uno strumento particolarmente idoneo a garantire un monitoraggio costante degli impegni assunti da tutti i soggetti coinvolti nella realizzazione di un intervento e a rimuovere tempestivamente gli ostacoli che dovessero sorgere in fase </w:t>
      </w:r>
      <w:r w:rsidR="00886B19" w:rsidRPr="00986275">
        <w:rPr>
          <w:rFonts w:ascii="Times New Roman" w:hAnsi="Times New Roman"/>
          <w:sz w:val="24"/>
          <w:szCs w:val="24"/>
        </w:rPr>
        <w:t xml:space="preserve">esecutiva con </w:t>
      </w:r>
      <w:r w:rsidRPr="00986275">
        <w:rPr>
          <w:rFonts w:ascii="Times New Roman" w:hAnsi="Times New Roman"/>
          <w:sz w:val="24"/>
          <w:szCs w:val="24"/>
        </w:rPr>
        <w:t>l’applicazione, in caso di inerzia, ritardo o inadempienza acce</w:t>
      </w:r>
      <w:r w:rsidR="00886B19" w:rsidRPr="00986275">
        <w:rPr>
          <w:rFonts w:ascii="Times New Roman" w:hAnsi="Times New Roman"/>
          <w:sz w:val="24"/>
          <w:szCs w:val="24"/>
        </w:rPr>
        <w:t>rtate, di misure sanzionatorie</w:t>
      </w:r>
      <w:r w:rsidRPr="00986275">
        <w:rPr>
          <w:rFonts w:ascii="Times New Roman" w:hAnsi="Times New Roman"/>
          <w:sz w:val="24"/>
          <w:szCs w:val="24"/>
        </w:rPr>
        <w:t>;</w:t>
      </w:r>
    </w:p>
    <w:p w:rsidR="00D95E85" w:rsidRPr="00986275" w:rsidRDefault="00D95E85" w:rsidP="00EC05D8">
      <w:pPr>
        <w:numPr>
          <w:ilvl w:val="0"/>
          <w:numId w:val="2"/>
        </w:numPr>
        <w:spacing w:after="100" w:line="300" w:lineRule="atLeast"/>
        <w:jc w:val="both"/>
        <w:rPr>
          <w:rFonts w:ascii="Times New Roman" w:hAnsi="Times New Roman"/>
          <w:b/>
          <w:sz w:val="24"/>
          <w:szCs w:val="24"/>
        </w:rPr>
      </w:pPr>
      <w:r w:rsidRPr="00986275">
        <w:rPr>
          <w:rFonts w:ascii="Times New Roman" w:hAnsi="Times New Roman"/>
          <w:b/>
          <w:sz w:val="24"/>
          <w:szCs w:val="24"/>
        </w:rPr>
        <w:t>estensione a tutti i contratti pubblici affidati dalle maggiori Stazioni appaltanti</w:t>
      </w:r>
      <w:r w:rsidRPr="00986275">
        <w:rPr>
          <w:rFonts w:ascii="Times New Roman" w:hAnsi="Times New Roman"/>
          <w:sz w:val="24"/>
          <w:szCs w:val="24"/>
        </w:rPr>
        <w:t xml:space="preserve"> (non già solo a quelli inerenti la realizzazione di infrastrutture strategiche) e per un periodo di tempo circoscritto (ad. es. 5 anni) </w:t>
      </w:r>
      <w:r w:rsidRPr="00986275">
        <w:rPr>
          <w:rFonts w:ascii="Times New Roman" w:hAnsi="Times New Roman"/>
          <w:b/>
          <w:sz w:val="24"/>
          <w:szCs w:val="24"/>
        </w:rPr>
        <w:t xml:space="preserve">dell’applicazione della misura </w:t>
      </w:r>
      <w:r w:rsidRPr="00396B05">
        <w:rPr>
          <w:rFonts w:ascii="Times New Roman" w:hAnsi="Times New Roman"/>
          <w:sz w:val="24"/>
          <w:szCs w:val="24"/>
        </w:rPr>
        <w:t xml:space="preserve">di cui all’art. 1, co. 2 lett. n) della </w:t>
      </w:r>
      <w:r w:rsidR="00A3031C" w:rsidRPr="00396B05">
        <w:rPr>
          <w:rFonts w:ascii="Times New Roman" w:hAnsi="Times New Roman"/>
          <w:sz w:val="24"/>
          <w:szCs w:val="24"/>
        </w:rPr>
        <w:t>Legge obiettivo</w:t>
      </w:r>
      <w:r w:rsidRPr="00396B05">
        <w:rPr>
          <w:rFonts w:ascii="Times New Roman" w:hAnsi="Times New Roman"/>
          <w:sz w:val="24"/>
          <w:szCs w:val="24"/>
        </w:rPr>
        <w:t xml:space="preserve"> che </w:t>
      </w:r>
      <w:r w:rsidRPr="00396B05">
        <w:rPr>
          <w:rFonts w:ascii="Times New Roman" w:hAnsi="Times New Roman"/>
          <w:b/>
          <w:sz w:val="24"/>
          <w:szCs w:val="24"/>
        </w:rPr>
        <w:t xml:space="preserve">esclude </w:t>
      </w:r>
      <w:r w:rsidRPr="00986275">
        <w:rPr>
          <w:rFonts w:ascii="Times New Roman" w:hAnsi="Times New Roman"/>
          <w:b/>
          <w:sz w:val="24"/>
          <w:szCs w:val="24"/>
        </w:rPr>
        <w:t>che, a seguito della stipula del contratto, possa darsi seguito a domande di reintegrazione in forma specifica</w:t>
      </w:r>
      <w:r w:rsidRPr="00986275">
        <w:rPr>
          <w:rFonts w:ascii="Times New Roman" w:hAnsi="Times New Roman"/>
          <w:sz w:val="24"/>
          <w:szCs w:val="24"/>
        </w:rPr>
        <w:t>, consentendo esclusivamente forme di tutela risarcitoria per equivalente;</w:t>
      </w:r>
    </w:p>
    <w:p w:rsidR="00D95E85" w:rsidRPr="00986275" w:rsidRDefault="00D95E85" w:rsidP="00EC05D8">
      <w:pPr>
        <w:numPr>
          <w:ilvl w:val="0"/>
          <w:numId w:val="2"/>
        </w:numPr>
        <w:spacing w:after="100" w:line="300" w:lineRule="atLeast"/>
        <w:jc w:val="both"/>
        <w:rPr>
          <w:rFonts w:ascii="Times New Roman" w:hAnsi="Times New Roman"/>
          <w:b/>
          <w:sz w:val="24"/>
          <w:szCs w:val="24"/>
        </w:rPr>
      </w:pPr>
      <w:r w:rsidRPr="00986275">
        <w:rPr>
          <w:rFonts w:ascii="Times New Roman" w:hAnsi="Times New Roman"/>
          <w:b/>
          <w:sz w:val="24"/>
          <w:szCs w:val="24"/>
        </w:rPr>
        <w:t>interventi intesi a semplificare ed accelerare</w:t>
      </w:r>
      <w:r w:rsidRPr="00986275">
        <w:rPr>
          <w:rFonts w:ascii="Times New Roman" w:hAnsi="Times New Roman"/>
          <w:sz w:val="24"/>
          <w:szCs w:val="24"/>
        </w:rPr>
        <w:t xml:space="preserve"> </w:t>
      </w:r>
      <w:r w:rsidRPr="00986275">
        <w:rPr>
          <w:rFonts w:ascii="Times New Roman" w:hAnsi="Times New Roman"/>
          <w:b/>
          <w:sz w:val="24"/>
          <w:szCs w:val="24"/>
        </w:rPr>
        <w:t xml:space="preserve">le procedure che regolano il funzionamento di della conferenza di servizi </w:t>
      </w:r>
      <w:r w:rsidRPr="00986275">
        <w:rPr>
          <w:rFonts w:ascii="Times New Roman" w:hAnsi="Times New Roman"/>
          <w:sz w:val="24"/>
          <w:szCs w:val="24"/>
        </w:rPr>
        <w:t xml:space="preserve">con riferimento sia </w:t>
      </w:r>
      <w:r w:rsidRPr="00986275">
        <w:rPr>
          <w:rFonts w:ascii="Times New Roman" w:hAnsi="Times New Roman"/>
          <w:b/>
          <w:sz w:val="24"/>
          <w:szCs w:val="24"/>
        </w:rPr>
        <w:t>alla rappresentanza degli interessi</w:t>
      </w:r>
      <w:r w:rsidRPr="00986275">
        <w:rPr>
          <w:rFonts w:ascii="Times New Roman" w:hAnsi="Times New Roman"/>
          <w:sz w:val="24"/>
          <w:szCs w:val="24"/>
        </w:rPr>
        <w:t>, sia all’</w:t>
      </w:r>
      <w:r w:rsidRPr="00986275">
        <w:rPr>
          <w:rFonts w:ascii="Times New Roman" w:hAnsi="Times New Roman"/>
          <w:b/>
          <w:sz w:val="24"/>
          <w:szCs w:val="24"/>
        </w:rPr>
        <w:t xml:space="preserve">oggetto da concordare </w:t>
      </w:r>
      <w:r w:rsidRPr="00986275">
        <w:rPr>
          <w:rFonts w:ascii="Times New Roman" w:hAnsi="Times New Roman"/>
          <w:sz w:val="24"/>
          <w:szCs w:val="24"/>
        </w:rPr>
        <w:t xml:space="preserve">d’intesa, sia </w:t>
      </w:r>
      <w:r w:rsidRPr="00986275">
        <w:rPr>
          <w:rFonts w:ascii="Times New Roman" w:hAnsi="Times New Roman"/>
          <w:b/>
          <w:sz w:val="24"/>
          <w:szCs w:val="24"/>
        </w:rPr>
        <w:t>ai tempi e ai modi di definizione dei procedimenti in caso di dissenso</w:t>
      </w:r>
      <w:r w:rsidRPr="00986275">
        <w:rPr>
          <w:rFonts w:ascii="Times New Roman" w:hAnsi="Times New Roman"/>
          <w:sz w:val="24"/>
          <w:szCs w:val="24"/>
        </w:rPr>
        <w:t xml:space="preserve"> tra Amministrazioni centrali e livelli di Governo, al fine di </w:t>
      </w:r>
      <w:r w:rsidRPr="00986275">
        <w:rPr>
          <w:rFonts w:ascii="Times New Roman" w:hAnsi="Times New Roman"/>
          <w:b/>
          <w:sz w:val="24"/>
          <w:szCs w:val="24"/>
        </w:rPr>
        <w:t>rendere chiare le regole di “chiusura” dei procedimenti di confronto delle istanze di tutela</w:t>
      </w:r>
      <w:r w:rsidRPr="00986275">
        <w:rPr>
          <w:rFonts w:ascii="Times New Roman" w:hAnsi="Times New Roman"/>
          <w:sz w:val="24"/>
          <w:szCs w:val="24"/>
        </w:rPr>
        <w:t>.</w:t>
      </w:r>
      <w:r w:rsidRPr="00986275">
        <w:rPr>
          <w:rFonts w:ascii="Times New Roman" w:eastAsia="Times New Roman" w:hAnsi="Times New Roman"/>
          <w:sz w:val="24"/>
          <w:szCs w:val="24"/>
          <w:lang w:eastAsia="it-IT"/>
        </w:rPr>
        <w:t xml:space="preserve"> </w:t>
      </w:r>
    </w:p>
    <w:p w:rsidR="005E2B56" w:rsidRDefault="005E2B56" w:rsidP="00396B05">
      <w:pPr>
        <w:spacing w:after="100" w:line="300" w:lineRule="atLeast"/>
        <w:ind w:left="360"/>
        <w:jc w:val="both"/>
        <w:rPr>
          <w:rFonts w:ascii="Times New Roman" w:hAnsi="Times New Roman"/>
          <w:b/>
          <w:sz w:val="24"/>
          <w:szCs w:val="24"/>
        </w:rPr>
      </w:pPr>
    </w:p>
    <w:p w:rsidR="00396B05" w:rsidRPr="00986275" w:rsidRDefault="00396B05" w:rsidP="00EC05D8">
      <w:pPr>
        <w:pStyle w:val="Paragrafoelenco"/>
        <w:numPr>
          <w:ilvl w:val="0"/>
          <w:numId w:val="15"/>
        </w:numPr>
        <w:spacing w:after="100" w:line="300" w:lineRule="atLeast"/>
        <w:jc w:val="both"/>
        <w:rPr>
          <w:rFonts w:ascii="Times New Roman" w:hAnsi="Times New Roman"/>
          <w:b/>
          <w:sz w:val="24"/>
          <w:szCs w:val="24"/>
        </w:rPr>
      </w:pPr>
      <w:r>
        <w:rPr>
          <w:rFonts w:ascii="Times New Roman" w:hAnsi="Times New Roman"/>
          <w:b/>
          <w:sz w:val="24"/>
          <w:szCs w:val="24"/>
        </w:rPr>
        <w:t>P</w:t>
      </w:r>
      <w:r w:rsidRPr="00986275">
        <w:rPr>
          <w:rFonts w:ascii="Times New Roman" w:hAnsi="Times New Roman"/>
          <w:b/>
          <w:sz w:val="24"/>
          <w:szCs w:val="24"/>
        </w:rPr>
        <w:t xml:space="preserve">romozione di soluzioni innovative per le infrastrutture strategiche </w:t>
      </w:r>
    </w:p>
    <w:p w:rsidR="00396B05" w:rsidRPr="00986275" w:rsidRDefault="00730C4C" w:rsidP="00EC05D8">
      <w:pPr>
        <w:pStyle w:val="Paragrafoelenco"/>
        <w:numPr>
          <w:ilvl w:val="0"/>
          <w:numId w:val="6"/>
        </w:numPr>
        <w:spacing w:after="100" w:line="300" w:lineRule="atLeast"/>
        <w:contextualSpacing w:val="0"/>
        <w:jc w:val="both"/>
        <w:rPr>
          <w:rFonts w:ascii="Times New Roman" w:hAnsi="Times New Roman"/>
          <w:b/>
          <w:sz w:val="24"/>
          <w:szCs w:val="24"/>
        </w:rPr>
      </w:pPr>
      <w:r>
        <w:rPr>
          <w:rFonts w:ascii="Times New Roman" w:hAnsi="Times New Roman"/>
          <w:sz w:val="24"/>
          <w:szCs w:val="24"/>
        </w:rPr>
        <w:t>In sede di attuazione del criterio direttivo in questione, s</w:t>
      </w:r>
      <w:r w:rsidR="00396B05" w:rsidRPr="00986275">
        <w:rPr>
          <w:rFonts w:ascii="Times New Roman" w:hAnsi="Times New Roman"/>
          <w:sz w:val="24"/>
          <w:szCs w:val="24"/>
        </w:rPr>
        <w:t xml:space="preserve">i auspica una rivisitazione, anche alla luce dell’esperienza maturata negli anni di applicazione della Legge obiettivo, </w:t>
      </w:r>
      <w:r w:rsidR="00396B05" w:rsidRPr="00986275">
        <w:rPr>
          <w:rFonts w:ascii="Times New Roman" w:hAnsi="Times New Roman"/>
          <w:b/>
          <w:sz w:val="24"/>
          <w:szCs w:val="24"/>
        </w:rPr>
        <w:t xml:space="preserve">della disciplina che regola l’istituto dell’affidamento a contraente generale, </w:t>
      </w:r>
      <w:r w:rsidR="00396B05" w:rsidRPr="00986275">
        <w:rPr>
          <w:rFonts w:ascii="Times New Roman" w:hAnsi="Times New Roman"/>
          <w:sz w:val="24"/>
          <w:szCs w:val="24"/>
        </w:rPr>
        <w:t xml:space="preserve">con particolare riguardo alla </w:t>
      </w:r>
      <w:r w:rsidR="00396B05" w:rsidRPr="00986275">
        <w:rPr>
          <w:rFonts w:ascii="Times New Roman" w:hAnsi="Times New Roman"/>
          <w:b/>
          <w:sz w:val="24"/>
          <w:szCs w:val="24"/>
        </w:rPr>
        <w:t xml:space="preserve">ripartizione di compiti </w:t>
      </w:r>
      <w:r w:rsidR="00396B05" w:rsidRPr="00730C4C">
        <w:rPr>
          <w:rFonts w:ascii="Times New Roman" w:hAnsi="Times New Roman"/>
          <w:sz w:val="24"/>
          <w:szCs w:val="24"/>
        </w:rPr>
        <w:t>(e delle connesse responsabilità)</w:t>
      </w:r>
      <w:r w:rsidR="00396B05" w:rsidRPr="00986275">
        <w:rPr>
          <w:rFonts w:ascii="Times New Roman" w:hAnsi="Times New Roman"/>
          <w:b/>
          <w:sz w:val="24"/>
          <w:szCs w:val="24"/>
        </w:rPr>
        <w:t xml:space="preserve"> tra </w:t>
      </w:r>
      <w:r>
        <w:rPr>
          <w:rFonts w:ascii="Times New Roman" w:hAnsi="Times New Roman"/>
          <w:b/>
          <w:sz w:val="24"/>
          <w:szCs w:val="24"/>
        </w:rPr>
        <w:t xml:space="preserve">lo stesso e la </w:t>
      </w:r>
      <w:r w:rsidR="00396B05" w:rsidRPr="00986275">
        <w:rPr>
          <w:rFonts w:ascii="Times New Roman" w:hAnsi="Times New Roman"/>
          <w:b/>
          <w:sz w:val="24"/>
          <w:szCs w:val="24"/>
        </w:rPr>
        <w:t xml:space="preserve">stazione appaltante. </w:t>
      </w:r>
    </w:p>
    <w:p w:rsidR="00396B05" w:rsidRPr="00986275" w:rsidRDefault="00396B05" w:rsidP="00EC05D8">
      <w:pPr>
        <w:pStyle w:val="Paragrafoelenco"/>
        <w:numPr>
          <w:ilvl w:val="0"/>
          <w:numId w:val="6"/>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Posto che il contraente generale assume una responsabilità prevalentemente di risultato, come del resto tipica di tutti i contratti di appalto (rafforzata in questo caso dalla maggiore autonomia organizzativa nello svolgimento delle proprie attività), </w:t>
      </w:r>
      <w:r w:rsidRPr="00986275">
        <w:rPr>
          <w:rFonts w:ascii="Times New Roman" w:hAnsi="Times New Roman"/>
          <w:b/>
          <w:sz w:val="24"/>
          <w:szCs w:val="24"/>
        </w:rPr>
        <w:t>ciò non può comportare un mutamento della natura del contratto tale da renderlo aleatorio,</w:t>
      </w:r>
      <w:r w:rsidRPr="00986275">
        <w:rPr>
          <w:rFonts w:ascii="Times New Roman" w:hAnsi="Times New Roman"/>
          <w:sz w:val="24"/>
          <w:szCs w:val="24"/>
        </w:rPr>
        <w:t xml:space="preserve"> facendo ricadere su di esso</w:t>
      </w:r>
      <w:r w:rsidRPr="00986275">
        <w:rPr>
          <w:rFonts w:ascii="Times New Roman" w:hAnsi="Times New Roman"/>
          <w:b/>
          <w:sz w:val="24"/>
          <w:szCs w:val="24"/>
        </w:rPr>
        <w:t xml:space="preserve"> le conseguenze di tutte le vicende giuridiche e fattuali che possono determinare un anomalo andamento dei lavori</w:t>
      </w:r>
      <w:r w:rsidRPr="00986275">
        <w:rPr>
          <w:rFonts w:ascii="Times New Roman" w:hAnsi="Times New Roman"/>
          <w:sz w:val="24"/>
          <w:szCs w:val="24"/>
        </w:rPr>
        <w:t xml:space="preserve"> (quali, ad esempio, sopravvenienze normative, atti riconducibili alla criminalità organizzata, eventi di carattere geologico, ecc).</w:t>
      </w:r>
    </w:p>
    <w:p w:rsidR="00396B05" w:rsidRDefault="00396B05" w:rsidP="00EC05D8">
      <w:pPr>
        <w:pStyle w:val="Paragrafoelenco"/>
        <w:numPr>
          <w:ilvl w:val="0"/>
          <w:numId w:val="6"/>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La questione è strettamente correlata anche alla necessità di meglio definire i </w:t>
      </w:r>
      <w:r w:rsidRPr="00986275">
        <w:rPr>
          <w:rFonts w:ascii="Times New Roman" w:hAnsi="Times New Roman"/>
          <w:b/>
          <w:sz w:val="24"/>
          <w:szCs w:val="24"/>
        </w:rPr>
        <w:t>confini del ruolo di alta sorveglianza che residua in capo alla</w:t>
      </w:r>
      <w:r w:rsidR="00730C4C">
        <w:rPr>
          <w:rFonts w:ascii="Times New Roman" w:hAnsi="Times New Roman"/>
          <w:b/>
          <w:sz w:val="24"/>
          <w:szCs w:val="24"/>
        </w:rPr>
        <w:t xml:space="preserve"> s.a.</w:t>
      </w:r>
      <w:r w:rsidRPr="00986275">
        <w:rPr>
          <w:rFonts w:ascii="Times New Roman" w:hAnsi="Times New Roman"/>
          <w:b/>
          <w:sz w:val="24"/>
          <w:szCs w:val="24"/>
        </w:rPr>
        <w:t xml:space="preserve"> del compito di direzione lavori affidato dall’attuale normativa al </w:t>
      </w:r>
      <w:r w:rsidR="00730C4C">
        <w:rPr>
          <w:rFonts w:ascii="Times New Roman" w:hAnsi="Times New Roman"/>
          <w:b/>
          <w:sz w:val="24"/>
          <w:szCs w:val="24"/>
        </w:rPr>
        <w:t>CG</w:t>
      </w:r>
      <w:r w:rsidRPr="00986275">
        <w:rPr>
          <w:rFonts w:ascii="Times New Roman" w:hAnsi="Times New Roman"/>
          <w:b/>
          <w:sz w:val="24"/>
          <w:szCs w:val="24"/>
        </w:rPr>
        <w:t xml:space="preserve">. </w:t>
      </w:r>
      <w:r w:rsidRPr="00986275">
        <w:rPr>
          <w:rFonts w:ascii="Times New Roman" w:hAnsi="Times New Roman"/>
          <w:sz w:val="24"/>
          <w:szCs w:val="24"/>
        </w:rPr>
        <w:t xml:space="preserve"> </w:t>
      </w:r>
    </w:p>
    <w:p w:rsidR="00396B05" w:rsidRPr="00986275" w:rsidRDefault="00396B05" w:rsidP="00A63B71">
      <w:pPr>
        <w:spacing w:after="100" w:line="300" w:lineRule="atLeast"/>
        <w:jc w:val="both"/>
        <w:rPr>
          <w:rFonts w:ascii="Times New Roman" w:hAnsi="Times New Roman"/>
          <w:b/>
          <w:sz w:val="24"/>
          <w:szCs w:val="24"/>
        </w:rPr>
      </w:pPr>
    </w:p>
    <w:p w:rsidR="00886B19" w:rsidRPr="00986275" w:rsidRDefault="00730C4C" w:rsidP="00EC05D8">
      <w:pPr>
        <w:pStyle w:val="Paragrafoelenco"/>
        <w:numPr>
          <w:ilvl w:val="0"/>
          <w:numId w:val="15"/>
        </w:numPr>
        <w:spacing w:after="100" w:line="300" w:lineRule="atLeast"/>
        <w:ind w:left="357" w:hanging="357"/>
        <w:contextualSpacing w:val="0"/>
        <w:jc w:val="both"/>
        <w:rPr>
          <w:rFonts w:ascii="Times New Roman" w:hAnsi="Times New Roman"/>
          <w:b/>
          <w:sz w:val="24"/>
          <w:szCs w:val="24"/>
        </w:rPr>
      </w:pPr>
      <w:r>
        <w:rPr>
          <w:rFonts w:ascii="Times New Roman" w:hAnsi="Times New Roman"/>
          <w:b/>
          <w:sz w:val="24"/>
          <w:szCs w:val="24"/>
        </w:rPr>
        <w:t>R</w:t>
      </w:r>
      <w:r w:rsidR="00EF59D9" w:rsidRPr="00986275">
        <w:rPr>
          <w:rFonts w:ascii="Times New Roman" w:hAnsi="Times New Roman"/>
          <w:b/>
          <w:sz w:val="24"/>
          <w:szCs w:val="24"/>
        </w:rPr>
        <w:t xml:space="preserve">azionalizzazione ed estensione delle forme di </w:t>
      </w:r>
      <w:r w:rsidR="00396B05">
        <w:rPr>
          <w:rFonts w:ascii="Times New Roman" w:hAnsi="Times New Roman"/>
          <w:b/>
          <w:sz w:val="24"/>
          <w:szCs w:val="24"/>
        </w:rPr>
        <w:t>PPP</w:t>
      </w:r>
      <w:r w:rsidR="00EF59D9" w:rsidRPr="00986275">
        <w:rPr>
          <w:rFonts w:ascii="Times New Roman" w:hAnsi="Times New Roman"/>
          <w:b/>
          <w:sz w:val="24"/>
          <w:szCs w:val="24"/>
        </w:rPr>
        <w:t>, incentivandone l’utilizzo anche attraverso strumenti di carattere fin</w:t>
      </w:r>
      <w:r w:rsidR="00886B19" w:rsidRPr="00986275">
        <w:rPr>
          <w:rFonts w:ascii="Times New Roman" w:hAnsi="Times New Roman"/>
          <w:b/>
          <w:sz w:val="24"/>
          <w:szCs w:val="24"/>
        </w:rPr>
        <w:t xml:space="preserve">anziario innovativi </w:t>
      </w:r>
    </w:p>
    <w:p w:rsidR="00C363E4" w:rsidRPr="00986275" w:rsidRDefault="00986275" w:rsidP="00EC05D8">
      <w:pPr>
        <w:pStyle w:val="Paragrafoelenco"/>
        <w:numPr>
          <w:ilvl w:val="0"/>
          <w:numId w:val="12"/>
        </w:numPr>
        <w:spacing w:after="100" w:line="300" w:lineRule="atLeast"/>
        <w:ind w:left="357" w:hanging="357"/>
        <w:contextualSpacing w:val="0"/>
        <w:jc w:val="both"/>
        <w:rPr>
          <w:rFonts w:ascii="Times New Roman" w:hAnsi="Times New Roman"/>
          <w:sz w:val="24"/>
          <w:szCs w:val="24"/>
        </w:rPr>
      </w:pPr>
      <w:r w:rsidRPr="00986275">
        <w:rPr>
          <w:rFonts w:ascii="Times New Roman" w:hAnsi="Times New Roman"/>
          <w:sz w:val="24"/>
          <w:szCs w:val="24"/>
        </w:rPr>
        <w:t xml:space="preserve">Si </w:t>
      </w:r>
      <w:r w:rsidR="00A718F7" w:rsidRPr="00986275">
        <w:rPr>
          <w:rFonts w:ascii="Times New Roman" w:hAnsi="Times New Roman"/>
          <w:sz w:val="24"/>
          <w:szCs w:val="24"/>
        </w:rPr>
        <w:t xml:space="preserve">condivide pienamente </w:t>
      </w:r>
      <w:r w:rsidR="00A718F7" w:rsidRPr="00986275">
        <w:rPr>
          <w:rFonts w:ascii="Times New Roman" w:hAnsi="Times New Roman"/>
          <w:b/>
          <w:sz w:val="24"/>
          <w:szCs w:val="24"/>
        </w:rPr>
        <w:t xml:space="preserve">la valorizzazione operata </w:t>
      </w:r>
      <w:r w:rsidR="00A718F7" w:rsidRPr="00986275">
        <w:rPr>
          <w:rFonts w:ascii="Times New Roman" w:hAnsi="Times New Roman"/>
          <w:sz w:val="24"/>
          <w:szCs w:val="24"/>
        </w:rPr>
        <w:t>dal disegno di legge delega del principio direttivo concernente la</w:t>
      </w:r>
      <w:r w:rsidR="00A718F7" w:rsidRPr="00986275">
        <w:rPr>
          <w:rFonts w:ascii="Times New Roman" w:hAnsi="Times New Roman"/>
          <w:b/>
          <w:sz w:val="24"/>
          <w:szCs w:val="24"/>
        </w:rPr>
        <w:t xml:space="preserve"> razionalizzazione e l’estensione delle forme di partenariato pubblico privato</w:t>
      </w:r>
      <w:r w:rsidR="00396B05">
        <w:rPr>
          <w:rFonts w:ascii="Times New Roman" w:hAnsi="Times New Roman"/>
          <w:sz w:val="24"/>
          <w:szCs w:val="24"/>
        </w:rPr>
        <w:t>,</w:t>
      </w:r>
      <w:r w:rsidR="00A718F7" w:rsidRPr="00986275">
        <w:rPr>
          <w:rFonts w:ascii="Times New Roman" w:hAnsi="Times New Roman"/>
          <w:sz w:val="24"/>
          <w:szCs w:val="24"/>
        </w:rPr>
        <w:t xml:space="preserve"> tenuto conto dell’esigenza, sempre più avvertita dagli operatori del settore, di </w:t>
      </w:r>
      <w:r w:rsidR="00A718F7" w:rsidRPr="00730C4C">
        <w:rPr>
          <w:rFonts w:ascii="Times New Roman" w:hAnsi="Times New Roman"/>
          <w:b/>
          <w:sz w:val="24"/>
          <w:szCs w:val="24"/>
        </w:rPr>
        <w:t>chiarire e delineare precisamente i confini tra le diverse forme di PPP</w:t>
      </w:r>
      <w:r w:rsidR="00A718F7" w:rsidRPr="00986275">
        <w:rPr>
          <w:rFonts w:ascii="Times New Roman" w:hAnsi="Times New Roman"/>
          <w:sz w:val="24"/>
          <w:szCs w:val="24"/>
        </w:rPr>
        <w:t xml:space="preserve"> (cfr. concessione, </w:t>
      </w:r>
      <w:r w:rsidR="00A718F7" w:rsidRPr="00986275">
        <w:rPr>
          <w:rFonts w:ascii="Times New Roman" w:hAnsi="Times New Roman"/>
          <w:i/>
          <w:sz w:val="24"/>
          <w:szCs w:val="24"/>
        </w:rPr>
        <w:t>project financing</w:t>
      </w:r>
      <w:r w:rsidR="00A718F7" w:rsidRPr="00986275">
        <w:rPr>
          <w:rFonts w:ascii="Times New Roman" w:hAnsi="Times New Roman"/>
          <w:sz w:val="24"/>
          <w:szCs w:val="24"/>
        </w:rPr>
        <w:t>, contratto di disponibilità, locazione finanziaria etc.) nonché i limiti entro i quali è possibile ricorrere alle predette operazioni in situazioni – sempre più frequenti</w:t>
      </w:r>
      <w:r w:rsidR="0040487F" w:rsidRPr="00986275">
        <w:rPr>
          <w:rFonts w:ascii="Times New Roman" w:hAnsi="Times New Roman"/>
          <w:sz w:val="24"/>
          <w:szCs w:val="24"/>
        </w:rPr>
        <w:t xml:space="preserve"> alla luce della crisi economica globale</w:t>
      </w:r>
      <w:r w:rsidR="00A718F7" w:rsidRPr="00986275">
        <w:rPr>
          <w:rFonts w:ascii="Times New Roman" w:hAnsi="Times New Roman"/>
          <w:sz w:val="24"/>
          <w:szCs w:val="24"/>
        </w:rPr>
        <w:t xml:space="preserve"> - caratterizzate da una sostanziale carenza di risorse pubbliche.</w:t>
      </w:r>
    </w:p>
    <w:p w:rsidR="00E437BC" w:rsidRPr="00986275" w:rsidRDefault="00A718F7" w:rsidP="00EC05D8">
      <w:pPr>
        <w:pStyle w:val="Paragrafoelenco"/>
        <w:numPr>
          <w:ilvl w:val="0"/>
          <w:numId w:val="12"/>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Il </w:t>
      </w:r>
      <w:r w:rsidRPr="00986275">
        <w:rPr>
          <w:rFonts w:ascii="Times New Roman" w:hAnsi="Times New Roman"/>
          <w:b/>
          <w:sz w:val="24"/>
          <w:szCs w:val="24"/>
        </w:rPr>
        <w:t>problema, in particolar modo, si pone con riguardo alle c.d. “opere fredde”</w:t>
      </w:r>
      <w:r w:rsidRPr="00986275">
        <w:rPr>
          <w:rFonts w:ascii="Times New Roman" w:hAnsi="Times New Roman"/>
          <w:sz w:val="24"/>
          <w:szCs w:val="24"/>
        </w:rPr>
        <w:t xml:space="preserve">, la cui “incapacità” di generare un </w:t>
      </w:r>
      <w:r w:rsidRPr="00986275">
        <w:rPr>
          <w:rFonts w:ascii="Times New Roman" w:hAnsi="Times New Roman"/>
          <w:i/>
          <w:sz w:val="24"/>
          <w:szCs w:val="24"/>
        </w:rPr>
        <w:t>cash flow</w:t>
      </w:r>
      <w:r w:rsidRPr="00986275">
        <w:rPr>
          <w:rFonts w:ascii="Times New Roman" w:hAnsi="Times New Roman"/>
          <w:sz w:val="24"/>
          <w:szCs w:val="24"/>
        </w:rPr>
        <w:t xml:space="preserve"> non può di certo ritenersi direttamente proporzionale</w:t>
      </w:r>
      <w:r w:rsidR="00746EFD" w:rsidRPr="00986275">
        <w:rPr>
          <w:rFonts w:ascii="Times New Roman" w:hAnsi="Times New Roman"/>
          <w:sz w:val="24"/>
          <w:szCs w:val="24"/>
        </w:rPr>
        <w:t xml:space="preserve"> alla pubblica utilità dell’opera</w:t>
      </w:r>
      <w:r w:rsidR="0040487F" w:rsidRPr="00986275">
        <w:rPr>
          <w:rFonts w:ascii="Times New Roman" w:hAnsi="Times New Roman"/>
          <w:sz w:val="24"/>
          <w:szCs w:val="24"/>
        </w:rPr>
        <w:t xml:space="preserve">. Basti pensare, a titolo esemplificativo, </w:t>
      </w:r>
      <w:r w:rsidR="0040487F" w:rsidRPr="00730C4C">
        <w:rPr>
          <w:rFonts w:ascii="Times New Roman" w:hAnsi="Times New Roman"/>
          <w:b/>
          <w:sz w:val="24"/>
          <w:szCs w:val="24"/>
        </w:rPr>
        <w:t>alle tratte autostradali non soggette a pedaggio</w:t>
      </w:r>
      <w:r w:rsidR="00746EFD" w:rsidRPr="00986275">
        <w:rPr>
          <w:rFonts w:ascii="Times New Roman" w:hAnsi="Times New Roman"/>
          <w:sz w:val="24"/>
          <w:szCs w:val="24"/>
        </w:rPr>
        <w:t xml:space="preserve">, la cui importanza sotto il profilo strategico non può essere messa in discussione dalla mancata esazione di pedaggi, talora giustificata dalla necessità di non gravare le persone fisiche residenti o pendolari </w:t>
      </w:r>
      <w:r w:rsidR="00E46735" w:rsidRPr="00986275">
        <w:rPr>
          <w:rFonts w:ascii="Times New Roman" w:hAnsi="Times New Roman"/>
          <w:sz w:val="24"/>
          <w:szCs w:val="24"/>
        </w:rPr>
        <w:t>di</w:t>
      </w:r>
      <w:r w:rsidR="00746EFD" w:rsidRPr="00986275">
        <w:rPr>
          <w:rFonts w:ascii="Times New Roman" w:hAnsi="Times New Roman"/>
          <w:sz w:val="24"/>
          <w:szCs w:val="24"/>
        </w:rPr>
        <w:t xml:space="preserve"> ulteriori oneri.</w:t>
      </w:r>
      <w:r w:rsidR="005E2B56" w:rsidRPr="00986275">
        <w:rPr>
          <w:rFonts w:ascii="Times New Roman" w:hAnsi="Times New Roman"/>
          <w:sz w:val="24"/>
          <w:szCs w:val="24"/>
        </w:rPr>
        <w:t xml:space="preserve"> </w:t>
      </w:r>
    </w:p>
    <w:p w:rsidR="00E437BC" w:rsidRPr="00986275" w:rsidRDefault="00E437BC" w:rsidP="00EC05D8">
      <w:pPr>
        <w:pStyle w:val="Paragrafoelenco"/>
        <w:numPr>
          <w:ilvl w:val="0"/>
          <w:numId w:val="12"/>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In sede di recepimento, si potrebbe</w:t>
      </w:r>
      <w:r w:rsidR="00730C4C">
        <w:rPr>
          <w:rFonts w:ascii="Times New Roman" w:hAnsi="Times New Roman"/>
          <w:sz w:val="24"/>
          <w:szCs w:val="24"/>
        </w:rPr>
        <w:t>,</w:t>
      </w:r>
      <w:r w:rsidRPr="00986275">
        <w:rPr>
          <w:rFonts w:ascii="Times New Roman" w:hAnsi="Times New Roman"/>
          <w:sz w:val="24"/>
          <w:szCs w:val="24"/>
        </w:rPr>
        <w:t xml:space="preserve"> tra l’altro</w:t>
      </w:r>
      <w:r w:rsidR="00730C4C">
        <w:rPr>
          <w:rFonts w:ascii="Times New Roman" w:hAnsi="Times New Roman"/>
          <w:sz w:val="24"/>
          <w:szCs w:val="24"/>
        </w:rPr>
        <w:t>,</w:t>
      </w:r>
      <w:r w:rsidRPr="00986275">
        <w:rPr>
          <w:rFonts w:ascii="Times New Roman" w:hAnsi="Times New Roman"/>
          <w:sz w:val="24"/>
          <w:szCs w:val="24"/>
        </w:rPr>
        <w:t xml:space="preserve"> chiarire </w:t>
      </w:r>
      <w:r w:rsidRPr="00986275">
        <w:rPr>
          <w:rFonts w:ascii="Times New Roman" w:hAnsi="Times New Roman"/>
          <w:b/>
          <w:sz w:val="24"/>
          <w:szCs w:val="24"/>
        </w:rPr>
        <w:t>l’applicabilità del contratto di disponibilità anche per le opere da realizzarsi sul demanio pubblico, quali le infrastrutture stradali.</w:t>
      </w:r>
      <w:r w:rsidRPr="00986275">
        <w:rPr>
          <w:rFonts w:ascii="Times New Roman" w:hAnsi="Times New Roman"/>
          <w:sz w:val="24"/>
          <w:szCs w:val="24"/>
        </w:rPr>
        <w:t xml:space="preserve"> Ove infatti, in sede contrattuale, fosse garantito l’effettivo trasferimento in capo all’affidatario del rischio di costruzione e del rischio di disponibilità, collegando l’importo del canone di disponibilità agli indici della performance (anziché all’utenza) e adottando meccanismi idonei ad assicurare l’applicazione di penali in funzione di ritardi o inefficienze dell’esecutore, verrebbe assicurato il trasferimento, in capo al soggetto affidatario, del c.d. “rischio operativo”, richiesto dalla Direttiva 2014/23/UE ai fini della qualificazione di un contratto in termini di “concessione”.</w:t>
      </w:r>
    </w:p>
    <w:p w:rsidR="000F3F85" w:rsidRPr="00986275" w:rsidRDefault="000F3F85" w:rsidP="00EC05D8">
      <w:pPr>
        <w:pStyle w:val="Paragrafoelenco"/>
        <w:numPr>
          <w:ilvl w:val="0"/>
          <w:numId w:val="12"/>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A tal fine, in sede di recepimento, dovrebbero altresì </w:t>
      </w:r>
      <w:r w:rsidRPr="00730C4C">
        <w:rPr>
          <w:rFonts w:ascii="Times New Roman" w:hAnsi="Times New Roman"/>
          <w:b/>
          <w:sz w:val="24"/>
          <w:szCs w:val="24"/>
        </w:rPr>
        <w:t>potenziarsi</w:t>
      </w:r>
      <w:r w:rsidRPr="00986275">
        <w:rPr>
          <w:rFonts w:ascii="Times New Roman" w:hAnsi="Times New Roman"/>
          <w:sz w:val="24"/>
          <w:szCs w:val="24"/>
        </w:rPr>
        <w:t xml:space="preserve"> i </w:t>
      </w:r>
      <w:r w:rsidRPr="00730C4C">
        <w:rPr>
          <w:rFonts w:ascii="Times New Roman" w:hAnsi="Times New Roman"/>
          <w:b/>
          <w:sz w:val="24"/>
          <w:szCs w:val="24"/>
        </w:rPr>
        <w:t>meccanismi di controllo, da parte del concedente, sulle prestazioni eseguite dal concessionario,</w:t>
      </w:r>
      <w:r w:rsidRPr="00986275">
        <w:rPr>
          <w:rFonts w:ascii="Times New Roman" w:hAnsi="Times New Roman"/>
          <w:sz w:val="24"/>
          <w:szCs w:val="24"/>
        </w:rPr>
        <w:t xml:space="preserve"> sia in fase di realizzazione che di gestione, sì da assicurare che il trasferimento del rischio operativo, sia pur previsto e correttamente disciplinato in sede contrattuale, non finisca per essere eluso nei fatti.</w:t>
      </w:r>
    </w:p>
    <w:p w:rsidR="00E46735" w:rsidRPr="00986275" w:rsidRDefault="00E46735" w:rsidP="00EC05D8">
      <w:pPr>
        <w:pStyle w:val="Paragrafoelenco"/>
        <w:numPr>
          <w:ilvl w:val="0"/>
          <w:numId w:val="12"/>
        </w:numPr>
        <w:spacing w:after="100" w:line="300" w:lineRule="atLeast"/>
        <w:contextualSpacing w:val="0"/>
        <w:jc w:val="both"/>
        <w:rPr>
          <w:rFonts w:ascii="Times New Roman" w:hAnsi="Times New Roman"/>
          <w:sz w:val="24"/>
          <w:szCs w:val="24"/>
        </w:rPr>
      </w:pPr>
      <w:r w:rsidRPr="00986275">
        <w:rPr>
          <w:rFonts w:ascii="Times New Roman" w:hAnsi="Times New Roman"/>
          <w:sz w:val="24"/>
          <w:szCs w:val="24"/>
        </w:rPr>
        <w:t xml:space="preserve">Parimenti, si guarda con assoluto favore all’esigenza, espressa dal disegno di legge delega, di </w:t>
      </w:r>
      <w:r w:rsidRPr="00986275">
        <w:rPr>
          <w:rFonts w:ascii="Times New Roman" w:hAnsi="Times New Roman"/>
          <w:b/>
          <w:sz w:val="24"/>
          <w:szCs w:val="24"/>
        </w:rPr>
        <w:t>incentivare il ricorso “</w:t>
      </w:r>
      <w:r w:rsidRPr="00986275">
        <w:rPr>
          <w:rFonts w:ascii="Times New Roman" w:hAnsi="Times New Roman"/>
          <w:b/>
          <w:i/>
          <w:sz w:val="24"/>
          <w:szCs w:val="24"/>
        </w:rPr>
        <w:t>a strumenti di carattere finanziario innovativi e specifici</w:t>
      </w:r>
      <w:r w:rsidRPr="00986275">
        <w:rPr>
          <w:rFonts w:ascii="Times New Roman" w:hAnsi="Times New Roman"/>
          <w:i/>
          <w:sz w:val="24"/>
          <w:szCs w:val="24"/>
        </w:rPr>
        <w:t xml:space="preserve">”. </w:t>
      </w:r>
      <w:r w:rsidRPr="00986275">
        <w:rPr>
          <w:rFonts w:ascii="Times New Roman" w:hAnsi="Times New Roman"/>
          <w:sz w:val="24"/>
          <w:szCs w:val="24"/>
        </w:rPr>
        <w:t xml:space="preserve">In tal senso, le misure recentemente adottate con il decreto “Sblocca Italia” (D.L. n. 133/2014) intese </w:t>
      </w:r>
      <w:r w:rsidR="000F3F85" w:rsidRPr="00986275">
        <w:rPr>
          <w:rFonts w:ascii="Times New Roman" w:hAnsi="Times New Roman"/>
          <w:sz w:val="24"/>
          <w:szCs w:val="24"/>
        </w:rPr>
        <w:t xml:space="preserve">ad assicurare una </w:t>
      </w:r>
      <w:r w:rsidR="000F3F85" w:rsidRPr="00986275">
        <w:rPr>
          <w:rFonts w:ascii="Times New Roman" w:hAnsi="Times New Roman"/>
          <w:b/>
          <w:sz w:val="24"/>
          <w:szCs w:val="24"/>
        </w:rPr>
        <w:t xml:space="preserve">maggiore fruibilità dello strumento dei </w:t>
      </w:r>
      <w:r w:rsidRPr="00986275">
        <w:rPr>
          <w:rFonts w:ascii="Times New Roman" w:hAnsi="Times New Roman"/>
          <w:b/>
          <w:i/>
          <w:sz w:val="24"/>
          <w:szCs w:val="24"/>
        </w:rPr>
        <w:t>project bond</w:t>
      </w:r>
      <w:r w:rsidRPr="00986275">
        <w:rPr>
          <w:rFonts w:ascii="Times New Roman" w:hAnsi="Times New Roman"/>
          <w:sz w:val="24"/>
          <w:szCs w:val="24"/>
        </w:rPr>
        <w:t xml:space="preserve"> </w:t>
      </w:r>
      <w:r w:rsidR="000F3F85" w:rsidRPr="00986275">
        <w:rPr>
          <w:rFonts w:ascii="Times New Roman" w:hAnsi="Times New Roman"/>
          <w:sz w:val="24"/>
          <w:szCs w:val="24"/>
        </w:rPr>
        <w:t>nel mercato dei capitali</w:t>
      </w:r>
      <w:r w:rsidR="00986275" w:rsidRPr="00986275">
        <w:rPr>
          <w:rFonts w:ascii="Times New Roman" w:hAnsi="Times New Roman"/>
          <w:sz w:val="24"/>
          <w:szCs w:val="24"/>
        </w:rPr>
        <w:t xml:space="preserve"> </w:t>
      </w:r>
      <w:r w:rsidR="000F3F85" w:rsidRPr="00986275">
        <w:rPr>
          <w:rFonts w:ascii="Times New Roman" w:hAnsi="Times New Roman"/>
          <w:sz w:val="24"/>
          <w:szCs w:val="24"/>
        </w:rPr>
        <w:t>e</w:t>
      </w:r>
      <w:r w:rsidRPr="00986275">
        <w:rPr>
          <w:rFonts w:ascii="Times New Roman" w:hAnsi="Times New Roman"/>
          <w:sz w:val="24"/>
          <w:szCs w:val="24"/>
        </w:rPr>
        <w:t xml:space="preserve"> ad </w:t>
      </w:r>
      <w:r w:rsidRPr="00986275">
        <w:rPr>
          <w:rFonts w:ascii="Times New Roman" w:hAnsi="Times New Roman"/>
          <w:b/>
          <w:sz w:val="24"/>
          <w:szCs w:val="24"/>
        </w:rPr>
        <w:t>ampliare la platea delle nuove infrastrutture ammesse al beneficio delle misure di defiscalizzazione</w:t>
      </w:r>
      <w:r w:rsidRPr="00986275">
        <w:rPr>
          <w:rFonts w:ascii="Times New Roman" w:hAnsi="Times New Roman"/>
          <w:sz w:val="24"/>
          <w:szCs w:val="24"/>
        </w:rPr>
        <w:t xml:space="preserve"> di cui all’art. 33 D.L. n. 179/2012 (riconoscimento del credito di imposta e ed esenzione dal pagamento del canone di concessione) </w:t>
      </w:r>
      <w:r w:rsidR="000F3F85" w:rsidRPr="00986275">
        <w:rPr>
          <w:rFonts w:ascii="Times New Roman" w:hAnsi="Times New Roman"/>
          <w:sz w:val="24"/>
          <w:szCs w:val="24"/>
        </w:rPr>
        <w:t>sembrano porsi già in linea con gli obiettivi delineati dal disegno di legge delega.</w:t>
      </w:r>
      <w:r w:rsidR="00986275" w:rsidRPr="00986275">
        <w:rPr>
          <w:rFonts w:ascii="Times New Roman" w:hAnsi="Times New Roman"/>
          <w:sz w:val="24"/>
          <w:szCs w:val="24"/>
        </w:rPr>
        <w:t xml:space="preserve"> Per quanto riguarda i </w:t>
      </w:r>
      <w:r w:rsidR="00986275" w:rsidRPr="00986275">
        <w:rPr>
          <w:rFonts w:ascii="Times New Roman" w:hAnsi="Times New Roman"/>
          <w:b/>
          <w:sz w:val="24"/>
          <w:szCs w:val="24"/>
        </w:rPr>
        <w:t>project bond</w:t>
      </w:r>
      <w:r w:rsidR="00986275" w:rsidRPr="00986275">
        <w:rPr>
          <w:rFonts w:ascii="Times New Roman" w:hAnsi="Times New Roman"/>
          <w:sz w:val="24"/>
          <w:szCs w:val="24"/>
        </w:rPr>
        <w:t xml:space="preserve"> si potrebbe valutare di consentire la fruibilità di tale strumento </w:t>
      </w:r>
      <w:r w:rsidR="00986275" w:rsidRPr="00986275">
        <w:rPr>
          <w:rFonts w:ascii="Times New Roman" w:hAnsi="Times New Roman"/>
          <w:b/>
          <w:sz w:val="24"/>
          <w:szCs w:val="24"/>
        </w:rPr>
        <w:t>non solo agli investitori istituzionali.</w:t>
      </w:r>
    </w:p>
    <w:p w:rsidR="00EF59D9" w:rsidRDefault="00EF59D9" w:rsidP="00396B05">
      <w:pPr>
        <w:spacing w:after="100" w:line="300" w:lineRule="atLeast"/>
        <w:jc w:val="both"/>
        <w:rPr>
          <w:rFonts w:ascii="Times New Roman" w:hAnsi="Times New Roman"/>
          <w:sz w:val="24"/>
          <w:szCs w:val="24"/>
        </w:rPr>
      </w:pPr>
    </w:p>
    <w:p w:rsidR="00730C4C" w:rsidRPr="00986275" w:rsidRDefault="00730C4C" w:rsidP="00396B05">
      <w:pPr>
        <w:spacing w:after="100" w:line="300" w:lineRule="atLeast"/>
        <w:jc w:val="both"/>
        <w:rPr>
          <w:rFonts w:ascii="Times New Roman" w:hAnsi="Times New Roman"/>
          <w:sz w:val="24"/>
          <w:szCs w:val="24"/>
        </w:rPr>
      </w:pPr>
    </w:p>
    <w:p w:rsidR="0035390D" w:rsidRPr="00A63B71" w:rsidRDefault="00A63B71" w:rsidP="00A63B71">
      <w:pPr>
        <w:spacing w:after="100" w:line="300" w:lineRule="atLeast"/>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35390D" w:rsidRPr="00A63B71">
        <w:rPr>
          <w:rFonts w:ascii="Times New Roman" w:hAnsi="Times New Roman" w:cs="Times New Roman"/>
          <w:b/>
          <w:sz w:val="24"/>
          <w:szCs w:val="24"/>
        </w:rPr>
        <w:t>Criteri direttivi mancanti</w:t>
      </w:r>
    </w:p>
    <w:p w:rsidR="00BC7E47" w:rsidRPr="00986275" w:rsidRDefault="00986275" w:rsidP="00EC05D8">
      <w:pPr>
        <w:pStyle w:val="Paragrafoelenco"/>
        <w:numPr>
          <w:ilvl w:val="0"/>
          <w:numId w:val="13"/>
        </w:numPr>
        <w:spacing w:after="100" w:line="300" w:lineRule="atLeast"/>
        <w:ind w:left="360"/>
        <w:contextualSpacing w:val="0"/>
        <w:jc w:val="both"/>
        <w:rPr>
          <w:rFonts w:ascii="Times New Roman" w:hAnsi="Times New Roman"/>
          <w:b/>
          <w:sz w:val="24"/>
          <w:szCs w:val="24"/>
        </w:rPr>
      </w:pPr>
      <w:r w:rsidRPr="00986275">
        <w:rPr>
          <w:rFonts w:ascii="Times New Roman" w:hAnsi="Times New Roman"/>
          <w:b/>
          <w:sz w:val="24"/>
          <w:szCs w:val="24"/>
        </w:rPr>
        <w:t xml:space="preserve">Manca </w:t>
      </w:r>
      <w:r w:rsidR="00A63B71">
        <w:rPr>
          <w:rFonts w:ascii="Times New Roman" w:hAnsi="Times New Roman"/>
          <w:b/>
          <w:sz w:val="24"/>
          <w:szCs w:val="24"/>
        </w:rPr>
        <w:t xml:space="preserve">tra i principi direttivi </w:t>
      </w:r>
      <w:r w:rsidRPr="00986275">
        <w:rPr>
          <w:rFonts w:ascii="Times New Roman" w:hAnsi="Times New Roman"/>
          <w:b/>
          <w:sz w:val="24"/>
          <w:szCs w:val="24"/>
        </w:rPr>
        <w:t>un riferimento alla v</w:t>
      </w:r>
      <w:r w:rsidR="0035390D" w:rsidRPr="00986275">
        <w:rPr>
          <w:rFonts w:ascii="Times New Roman" w:hAnsi="Times New Roman"/>
          <w:b/>
          <w:sz w:val="24"/>
          <w:szCs w:val="24"/>
        </w:rPr>
        <w:t>alorizzazione dell’uso strategico degli appalti</w:t>
      </w:r>
      <w:r w:rsidRPr="00986275">
        <w:rPr>
          <w:rFonts w:ascii="Times New Roman" w:hAnsi="Times New Roman"/>
          <w:b/>
          <w:sz w:val="24"/>
          <w:szCs w:val="24"/>
        </w:rPr>
        <w:t xml:space="preserve"> per il </w:t>
      </w:r>
      <w:r w:rsidR="0035390D" w:rsidRPr="00986275">
        <w:rPr>
          <w:rFonts w:ascii="Times New Roman" w:hAnsi="Times New Roman"/>
          <w:b/>
          <w:sz w:val="24"/>
          <w:szCs w:val="24"/>
        </w:rPr>
        <w:t>conseguimento di obiettivi “politici” ulteriori</w:t>
      </w:r>
      <w:r w:rsidR="0035390D" w:rsidRPr="00986275">
        <w:rPr>
          <w:rFonts w:ascii="Times New Roman" w:hAnsi="Times New Roman"/>
          <w:sz w:val="24"/>
          <w:szCs w:val="24"/>
        </w:rPr>
        <w:t>, quali la tutela dell’ambiente, una maggiore efficienza energetica, un’attenzione alle esigenze sociali, la promozione dell’innovazione e delle migliori tecnologie (</w:t>
      </w:r>
      <w:r w:rsidR="002B5D96" w:rsidRPr="00986275">
        <w:rPr>
          <w:rFonts w:ascii="Times New Roman" w:hAnsi="Times New Roman"/>
          <w:sz w:val="24"/>
          <w:szCs w:val="24"/>
        </w:rPr>
        <w:t>la c.d. clausola orizzontale).</w:t>
      </w:r>
      <w:r w:rsidRPr="00986275">
        <w:rPr>
          <w:rFonts w:ascii="Times New Roman" w:hAnsi="Times New Roman"/>
          <w:b/>
          <w:sz w:val="24"/>
          <w:szCs w:val="24"/>
        </w:rPr>
        <w:t xml:space="preserve"> </w:t>
      </w:r>
      <w:r w:rsidR="00420119" w:rsidRPr="00986275">
        <w:rPr>
          <w:rFonts w:ascii="Times New Roman" w:hAnsi="Times New Roman"/>
          <w:sz w:val="24"/>
          <w:szCs w:val="24"/>
        </w:rPr>
        <w:t xml:space="preserve">Tale aspetto non riguarderebbe </w:t>
      </w:r>
      <w:r w:rsidR="002B5D96" w:rsidRPr="00986275">
        <w:rPr>
          <w:rFonts w:ascii="Times New Roman" w:hAnsi="Times New Roman"/>
          <w:sz w:val="24"/>
          <w:szCs w:val="24"/>
        </w:rPr>
        <w:t xml:space="preserve">esclusivamente i profili attinenti ai </w:t>
      </w:r>
      <w:r w:rsidR="002B5D96" w:rsidRPr="00730C4C">
        <w:rPr>
          <w:rFonts w:ascii="Times New Roman" w:hAnsi="Times New Roman"/>
          <w:b/>
          <w:sz w:val="24"/>
          <w:szCs w:val="24"/>
        </w:rPr>
        <w:t>criteri di aggiudicazione</w:t>
      </w:r>
      <w:r w:rsidR="002B5D96" w:rsidRPr="00986275">
        <w:rPr>
          <w:rFonts w:ascii="Times New Roman" w:hAnsi="Times New Roman"/>
          <w:sz w:val="24"/>
          <w:szCs w:val="24"/>
        </w:rPr>
        <w:t xml:space="preserve"> (cfr. costo d</w:t>
      </w:r>
      <w:r w:rsidR="00420119" w:rsidRPr="00986275">
        <w:rPr>
          <w:rFonts w:ascii="Times New Roman" w:hAnsi="Times New Roman"/>
          <w:sz w:val="24"/>
          <w:szCs w:val="24"/>
        </w:rPr>
        <w:t xml:space="preserve">i ciclo di vista del prodotto) ma </w:t>
      </w:r>
      <w:r w:rsidRPr="00986275">
        <w:rPr>
          <w:rFonts w:ascii="Times New Roman" w:hAnsi="Times New Roman"/>
          <w:sz w:val="24"/>
          <w:szCs w:val="24"/>
        </w:rPr>
        <w:t xml:space="preserve">anche la </w:t>
      </w:r>
      <w:r w:rsidR="002B5D96" w:rsidRPr="00730C4C">
        <w:rPr>
          <w:rFonts w:ascii="Times New Roman" w:hAnsi="Times New Roman"/>
          <w:b/>
          <w:sz w:val="24"/>
          <w:szCs w:val="24"/>
        </w:rPr>
        <w:t>qualificazione delle imprese,</w:t>
      </w:r>
      <w:r w:rsidR="002B5D96" w:rsidRPr="00986275">
        <w:rPr>
          <w:rFonts w:ascii="Times New Roman" w:hAnsi="Times New Roman"/>
          <w:sz w:val="24"/>
          <w:szCs w:val="24"/>
        </w:rPr>
        <w:t xml:space="preserve"> potendosi</w:t>
      </w:r>
      <w:r w:rsidR="0035390D" w:rsidRPr="00986275">
        <w:rPr>
          <w:rFonts w:ascii="Times New Roman" w:hAnsi="Times New Roman"/>
          <w:sz w:val="24"/>
          <w:szCs w:val="24"/>
        </w:rPr>
        <w:t xml:space="preserve"> </w:t>
      </w:r>
      <w:r w:rsidR="003A2DE4" w:rsidRPr="00986275">
        <w:rPr>
          <w:rFonts w:ascii="Times New Roman" w:hAnsi="Times New Roman"/>
          <w:sz w:val="24"/>
          <w:szCs w:val="24"/>
        </w:rPr>
        <w:t>ipotizzare l’introduzione di</w:t>
      </w:r>
      <w:r w:rsidR="0035390D" w:rsidRPr="00986275">
        <w:rPr>
          <w:rFonts w:ascii="Times New Roman" w:hAnsi="Times New Roman"/>
          <w:sz w:val="24"/>
          <w:szCs w:val="24"/>
        </w:rPr>
        <w:t xml:space="preserve"> </w:t>
      </w:r>
      <w:r w:rsidR="0035390D" w:rsidRPr="00986275">
        <w:rPr>
          <w:rFonts w:ascii="Times New Roman" w:hAnsi="Times New Roman"/>
          <w:b/>
          <w:sz w:val="24"/>
          <w:szCs w:val="24"/>
        </w:rPr>
        <w:t>idonei meccanismi premiali per le imprese che manifestano una particolare sensibilità verso l’ambiente, la tutela sociale, la s</w:t>
      </w:r>
      <w:r w:rsidR="002B5D96" w:rsidRPr="00986275">
        <w:rPr>
          <w:rFonts w:ascii="Times New Roman" w:hAnsi="Times New Roman"/>
          <w:b/>
          <w:sz w:val="24"/>
          <w:szCs w:val="24"/>
        </w:rPr>
        <w:t>alute e la sicurezza sul lavoro</w:t>
      </w:r>
      <w:r w:rsidRPr="00986275">
        <w:rPr>
          <w:rStyle w:val="Rimandonotaapidipagina"/>
          <w:rFonts w:ascii="Times New Roman" w:hAnsi="Times New Roman"/>
          <w:b/>
          <w:sz w:val="24"/>
          <w:szCs w:val="24"/>
        </w:rPr>
        <w:footnoteReference w:id="5"/>
      </w:r>
      <w:r w:rsidR="002B5D96" w:rsidRPr="00986275">
        <w:rPr>
          <w:rFonts w:ascii="Times New Roman" w:hAnsi="Times New Roman"/>
          <w:b/>
          <w:sz w:val="24"/>
          <w:szCs w:val="24"/>
        </w:rPr>
        <w:t>.</w:t>
      </w:r>
    </w:p>
    <w:p w:rsidR="002B5D96" w:rsidRPr="00986275" w:rsidRDefault="009A38A6" w:rsidP="00EC05D8">
      <w:pPr>
        <w:pStyle w:val="Paragrafoelenco"/>
        <w:numPr>
          <w:ilvl w:val="0"/>
          <w:numId w:val="13"/>
        </w:numPr>
        <w:spacing w:after="100" w:line="300" w:lineRule="atLeast"/>
        <w:ind w:left="360"/>
        <w:contextualSpacing w:val="0"/>
        <w:jc w:val="both"/>
        <w:rPr>
          <w:rFonts w:ascii="Times New Roman" w:hAnsi="Times New Roman"/>
          <w:sz w:val="24"/>
          <w:szCs w:val="24"/>
        </w:rPr>
      </w:pPr>
      <w:r w:rsidRPr="00986275">
        <w:rPr>
          <w:rFonts w:ascii="Times New Roman" w:hAnsi="Times New Roman"/>
          <w:sz w:val="24"/>
          <w:szCs w:val="24"/>
        </w:rPr>
        <w:t>Nella versione finale del disegno di legge non è più presente</w:t>
      </w:r>
      <w:r w:rsidR="00B56690" w:rsidRPr="00986275">
        <w:rPr>
          <w:rFonts w:ascii="Times New Roman" w:hAnsi="Times New Roman"/>
          <w:sz w:val="24"/>
          <w:szCs w:val="24"/>
        </w:rPr>
        <w:t xml:space="preserve"> tra i p</w:t>
      </w:r>
      <w:r w:rsidRPr="00986275">
        <w:rPr>
          <w:rFonts w:ascii="Times New Roman" w:hAnsi="Times New Roman"/>
          <w:sz w:val="24"/>
          <w:szCs w:val="24"/>
        </w:rPr>
        <w:t>rincipi della delega</w:t>
      </w:r>
      <w:r w:rsidR="00B56690" w:rsidRPr="00986275">
        <w:rPr>
          <w:rFonts w:ascii="Times New Roman" w:hAnsi="Times New Roman"/>
          <w:sz w:val="24"/>
          <w:szCs w:val="24"/>
        </w:rPr>
        <w:t xml:space="preserve"> </w:t>
      </w:r>
      <w:r w:rsidR="002B5D96" w:rsidRPr="00986275">
        <w:rPr>
          <w:rFonts w:ascii="Times New Roman" w:hAnsi="Times New Roman"/>
          <w:b/>
          <w:sz w:val="24"/>
          <w:szCs w:val="24"/>
        </w:rPr>
        <w:t xml:space="preserve">l’istituto del </w:t>
      </w:r>
      <w:r w:rsidR="002B5D96" w:rsidRPr="00986275">
        <w:rPr>
          <w:rFonts w:ascii="Times New Roman" w:hAnsi="Times New Roman"/>
          <w:b/>
          <w:i/>
          <w:sz w:val="24"/>
          <w:szCs w:val="24"/>
        </w:rPr>
        <w:t>débat public</w:t>
      </w:r>
      <w:r w:rsidR="002B5D96" w:rsidRPr="00986275">
        <w:rPr>
          <w:rFonts w:ascii="Times New Roman" w:hAnsi="Times New Roman"/>
          <w:b/>
          <w:sz w:val="24"/>
          <w:szCs w:val="24"/>
        </w:rPr>
        <w:t>,</w:t>
      </w:r>
      <w:r w:rsidR="002B5D96" w:rsidRPr="00986275">
        <w:rPr>
          <w:rFonts w:ascii="Times New Roman" w:hAnsi="Times New Roman"/>
          <w:sz w:val="24"/>
          <w:szCs w:val="24"/>
        </w:rPr>
        <w:t xml:space="preserve"> ovvero della consultazione pubblica - da svolgersi nella fase iniziale del progetto - finalizzata a favorire il coinvolgimento ed il consenso a livello locale relativo alla realizzazione delle opere infrastrutturali di rilevante impatto ambientale, sociale ed economico, sì da elevare il grado di tempestività ed accuratezza dell’informazione pubblica e del coinvolgimento e promuovere un più alto livello di consenso sociale</w:t>
      </w:r>
      <w:r w:rsidR="00B56690" w:rsidRPr="00986275">
        <w:rPr>
          <w:rFonts w:ascii="Times New Roman" w:hAnsi="Times New Roman"/>
          <w:sz w:val="24"/>
          <w:szCs w:val="24"/>
        </w:rPr>
        <w:t>.</w:t>
      </w:r>
      <w:r w:rsidR="00986275" w:rsidRPr="00986275">
        <w:rPr>
          <w:rFonts w:ascii="Times New Roman" w:hAnsi="Times New Roman"/>
          <w:sz w:val="24"/>
          <w:szCs w:val="24"/>
        </w:rPr>
        <w:t xml:space="preserve"> </w:t>
      </w:r>
      <w:r w:rsidR="00B56690" w:rsidRPr="00986275">
        <w:rPr>
          <w:rFonts w:ascii="Times New Roman" w:hAnsi="Times New Roman"/>
          <w:sz w:val="24"/>
          <w:szCs w:val="24"/>
        </w:rPr>
        <w:t xml:space="preserve">Come emerge dal confronto con altri Paesi europei, l’introduzione di tale procedura </w:t>
      </w:r>
      <w:r w:rsidR="00420119" w:rsidRPr="00986275">
        <w:rPr>
          <w:rFonts w:ascii="Times New Roman" w:hAnsi="Times New Roman"/>
          <w:sz w:val="24"/>
          <w:szCs w:val="24"/>
        </w:rPr>
        <w:t xml:space="preserve">potrebbe consentire </w:t>
      </w:r>
      <w:r w:rsidR="00B56690" w:rsidRPr="00986275">
        <w:rPr>
          <w:rFonts w:ascii="Times New Roman" w:hAnsi="Times New Roman"/>
          <w:sz w:val="24"/>
          <w:szCs w:val="24"/>
        </w:rPr>
        <w:t xml:space="preserve">di gestire più efficacemente il consenso a livello locale </w:t>
      </w:r>
      <w:r w:rsidR="00396B05">
        <w:rPr>
          <w:rFonts w:ascii="Times New Roman" w:hAnsi="Times New Roman"/>
          <w:sz w:val="24"/>
          <w:szCs w:val="24"/>
        </w:rPr>
        <w:t xml:space="preserve">per la </w:t>
      </w:r>
      <w:r w:rsidR="00B56690" w:rsidRPr="00986275">
        <w:rPr>
          <w:rFonts w:ascii="Times New Roman" w:hAnsi="Times New Roman"/>
          <w:sz w:val="24"/>
          <w:szCs w:val="24"/>
        </w:rPr>
        <w:t xml:space="preserve">realizzazione delle opere infrastrutturali di rilevante impatto ambientale, sociale ed economico, in una prospettiva volta alla riduzione dei tempi di approvazione delle infrastrutture ed al contrasto del c.d. “effetto </w:t>
      </w:r>
      <w:r w:rsidR="00B56690" w:rsidRPr="00986275">
        <w:rPr>
          <w:rFonts w:ascii="Times New Roman" w:hAnsi="Times New Roman"/>
          <w:i/>
          <w:sz w:val="24"/>
          <w:szCs w:val="24"/>
        </w:rPr>
        <w:t>nimby</w:t>
      </w:r>
      <w:r w:rsidR="00B56690" w:rsidRPr="00986275">
        <w:rPr>
          <w:rFonts w:ascii="Times New Roman" w:hAnsi="Times New Roman"/>
          <w:sz w:val="24"/>
          <w:szCs w:val="24"/>
        </w:rPr>
        <w:t>”.</w:t>
      </w:r>
    </w:p>
    <w:sectPr w:rsidR="002B5D96" w:rsidRPr="00986275" w:rsidSect="00E4113A">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5D8" w:rsidRDefault="00EC05D8" w:rsidP="00DA5A0F">
      <w:pPr>
        <w:spacing w:after="0"/>
      </w:pPr>
      <w:r>
        <w:separator/>
      </w:r>
    </w:p>
  </w:endnote>
  <w:endnote w:type="continuationSeparator" w:id="0">
    <w:p w:rsidR="00EC05D8" w:rsidRDefault="00EC05D8" w:rsidP="00DA5A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2234204"/>
      <w:docPartObj>
        <w:docPartGallery w:val="Page Numbers (Bottom of Page)"/>
        <w:docPartUnique/>
      </w:docPartObj>
    </w:sdtPr>
    <w:sdtContent>
      <w:p w:rsidR="00A63B71" w:rsidRPr="006B4CB1" w:rsidRDefault="00A63B71">
        <w:pPr>
          <w:pStyle w:val="Pidipagina"/>
          <w:jc w:val="right"/>
          <w:rPr>
            <w:rFonts w:ascii="Times New Roman" w:hAnsi="Times New Roman" w:cs="Times New Roman"/>
          </w:rPr>
        </w:pPr>
        <w:r w:rsidRPr="006B4CB1">
          <w:rPr>
            <w:rFonts w:ascii="Times New Roman" w:hAnsi="Times New Roman" w:cs="Times New Roman"/>
          </w:rPr>
          <w:fldChar w:fldCharType="begin"/>
        </w:r>
        <w:r w:rsidRPr="006B4CB1">
          <w:rPr>
            <w:rFonts w:ascii="Times New Roman" w:hAnsi="Times New Roman" w:cs="Times New Roman"/>
          </w:rPr>
          <w:instrText xml:space="preserve"> PAGE   \* MERGEFORMAT </w:instrText>
        </w:r>
        <w:r w:rsidRPr="006B4CB1">
          <w:rPr>
            <w:rFonts w:ascii="Times New Roman" w:hAnsi="Times New Roman" w:cs="Times New Roman"/>
          </w:rPr>
          <w:fldChar w:fldCharType="separate"/>
        </w:r>
        <w:r w:rsidR="00730C4C">
          <w:rPr>
            <w:rFonts w:ascii="Times New Roman" w:hAnsi="Times New Roman" w:cs="Times New Roman"/>
            <w:noProof/>
          </w:rPr>
          <w:t>2</w:t>
        </w:r>
        <w:r w:rsidRPr="006B4CB1">
          <w:rPr>
            <w:rFonts w:ascii="Times New Roman" w:hAnsi="Times New Roman" w:cs="Times New Roman"/>
          </w:rPr>
          <w:fldChar w:fldCharType="end"/>
        </w:r>
      </w:p>
    </w:sdtContent>
  </w:sdt>
  <w:p w:rsidR="00A63B71" w:rsidRDefault="00A63B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5D8" w:rsidRDefault="00EC05D8" w:rsidP="00DA5A0F">
      <w:pPr>
        <w:spacing w:after="0"/>
      </w:pPr>
      <w:r>
        <w:separator/>
      </w:r>
    </w:p>
  </w:footnote>
  <w:footnote w:type="continuationSeparator" w:id="0">
    <w:p w:rsidR="00EC05D8" w:rsidRDefault="00EC05D8" w:rsidP="00DA5A0F">
      <w:pPr>
        <w:spacing w:after="0"/>
      </w:pPr>
      <w:r>
        <w:continuationSeparator/>
      </w:r>
    </w:p>
  </w:footnote>
  <w:footnote w:id="1">
    <w:p w:rsidR="00A63B71" w:rsidRPr="00986275" w:rsidRDefault="00A63B71" w:rsidP="00986275">
      <w:pPr>
        <w:pStyle w:val="Rientrocorpodeltesto3"/>
        <w:tabs>
          <w:tab w:val="left" w:pos="9638"/>
        </w:tabs>
        <w:spacing w:after="0" w:line="240" w:lineRule="auto"/>
        <w:ind w:left="0" w:right="-1"/>
        <w:jc w:val="both"/>
        <w:rPr>
          <w:rFonts w:ascii="Times New Roman" w:hAnsi="Times New Roman"/>
          <w:sz w:val="20"/>
          <w:szCs w:val="20"/>
        </w:rPr>
      </w:pPr>
      <w:r w:rsidRPr="00986275">
        <w:rPr>
          <w:rStyle w:val="Rimandonotaapidipagina"/>
          <w:rFonts w:ascii="Times New Roman" w:hAnsi="Times New Roman"/>
          <w:sz w:val="20"/>
          <w:szCs w:val="20"/>
        </w:rPr>
        <w:footnoteRef/>
      </w:r>
      <w:r w:rsidRPr="00986275">
        <w:rPr>
          <w:rFonts w:ascii="Times New Roman" w:hAnsi="Times New Roman"/>
          <w:sz w:val="20"/>
          <w:szCs w:val="20"/>
        </w:rPr>
        <w:t xml:space="preserve"> D</w:t>
      </w:r>
      <w:r w:rsidRPr="00986275">
        <w:rPr>
          <w:rFonts w:ascii="Times New Roman" w:hAnsi="Times New Roman"/>
          <w:b/>
          <w:sz w:val="20"/>
          <w:szCs w:val="20"/>
        </w:rPr>
        <w:t>alla sua emanazione ad oggi, il Codice dei Contratti Pubblici è stato modificato circa 600 volte</w:t>
      </w:r>
      <w:r w:rsidRPr="00986275">
        <w:rPr>
          <w:rFonts w:ascii="Times New Roman" w:hAnsi="Times New Roman"/>
          <w:sz w:val="20"/>
          <w:szCs w:val="20"/>
        </w:rPr>
        <w:t xml:space="preserve"> (in cui sono conteggiate le modifiche convertite in legge), </w:t>
      </w:r>
      <w:r w:rsidRPr="00986275">
        <w:rPr>
          <w:rFonts w:ascii="Times New Roman" w:hAnsi="Times New Roman"/>
          <w:b/>
          <w:sz w:val="20"/>
          <w:szCs w:val="20"/>
        </w:rPr>
        <w:t>da 54 norme diverse</w:t>
      </w:r>
      <w:r w:rsidRPr="00986275">
        <w:rPr>
          <w:rFonts w:ascii="Times New Roman" w:hAnsi="Times New Roman"/>
          <w:sz w:val="20"/>
          <w:szCs w:val="20"/>
        </w:rPr>
        <w:t xml:space="preserve"> a cui vanno aggiunte </w:t>
      </w:r>
      <w:r w:rsidRPr="00986275">
        <w:rPr>
          <w:rFonts w:ascii="Times New Roman" w:hAnsi="Times New Roman"/>
          <w:b/>
          <w:sz w:val="20"/>
          <w:szCs w:val="20"/>
        </w:rPr>
        <w:t>19 leggi di conversione</w:t>
      </w:r>
      <w:r w:rsidRPr="00986275">
        <w:rPr>
          <w:rFonts w:ascii="Times New Roman" w:hAnsi="Times New Roman"/>
          <w:sz w:val="20"/>
          <w:szCs w:val="20"/>
        </w:rPr>
        <w:t xml:space="preserve">. Soltanto </w:t>
      </w:r>
      <w:r w:rsidRPr="00986275">
        <w:rPr>
          <w:rFonts w:ascii="Times New Roman" w:hAnsi="Times New Roman"/>
          <w:b/>
          <w:sz w:val="20"/>
          <w:szCs w:val="20"/>
        </w:rPr>
        <w:t>il 42% del Codice conserva il testo originario</w:t>
      </w:r>
      <w:r w:rsidRPr="00986275">
        <w:rPr>
          <w:rFonts w:ascii="Times New Roman" w:hAnsi="Times New Roman"/>
          <w:sz w:val="20"/>
          <w:szCs w:val="20"/>
        </w:rPr>
        <w:t xml:space="preserve">. La corsa agli aggiustamenti del Codice prosegue a </w:t>
      </w:r>
      <w:r w:rsidRPr="00986275">
        <w:rPr>
          <w:rFonts w:ascii="Times New Roman" w:hAnsi="Times New Roman"/>
          <w:b/>
          <w:sz w:val="20"/>
          <w:szCs w:val="20"/>
        </w:rPr>
        <w:t>una media di due o tre al mese</w:t>
      </w:r>
      <w:r w:rsidRPr="00986275">
        <w:rPr>
          <w:rFonts w:ascii="Times New Roman" w:hAnsi="Times New Roman"/>
          <w:sz w:val="20"/>
          <w:szCs w:val="20"/>
        </w:rPr>
        <w:t>. Una sorta di “</w:t>
      </w:r>
      <w:r w:rsidRPr="00986275">
        <w:rPr>
          <w:rFonts w:ascii="Times New Roman" w:hAnsi="Times New Roman"/>
          <w:b/>
          <w:i/>
          <w:sz w:val="20"/>
          <w:szCs w:val="20"/>
        </w:rPr>
        <w:t>riforma continua”,</w:t>
      </w:r>
      <w:r w:rsidRPr="00986275">
        <w:rPr>
          <w:rFonts w:ascii="Times New Roman" w:hAnsi="Times New Roman"/>
          <w:sz w:val="20"/>
          <w:szCs w:val="20"/>
        </w:rPr>
        <w:t xml:space="preserve"> </w:t>
      </w:r>
      <w:r>
        <w:rPr>
          <w:rFonts w:ascii="Times New Roman" w:hAnsi="Times New Roman"/>
          <w:sz w:val="20"/>
          <w:szCs w:val="20"/>
        </w:rPr>
        <w:t xml:space="preserve">fonte di incertezza e di </w:t>
      </w:r>
      <w:r w:rsidRPr="00986275">
        <w:rPr>
          <w:rFonts w:ascii="Times New Roman" w:hAnsi="Times New Roman"/>
          <w:sz w:val="20"/>
          <w:szCs w:val="20"/>
        </w:rPr>
        <w:t>contenziosi.</w:t>
      </w:r>
    </w:p>
  </w:footnote>
  <w:footnote w:id="2">
    <w:p w:rsidR="00A63B71" w:rsidRPr="00986275" w:rsidRDefault="00A63B71" w:rsidP="00986275">
      <w:pPr>
        <w:pStyle w:val="Testonotaapidipagina"/>
        <w:jc w:val="both"/>
        <w:rPr>
          <w:rFonts w:ascii="Times New Roman" w:hAnsi="Times New Roman" w:cs="Times New Roman"/>
        </w:rPr>
      </w:pPr>
      <w:r w:rsidRPr="00986275">
        <w:rPr>
          <w:rStyle w:val="Rimandonotaapidipagina"/>
          <w:rFonts w:ascii="Times New Roman" w:hAnsi="Times New Roman" w:cs="Times New Roman"/>
        </w:rPr>
        <w:footnoteRef/>
      </w:r>
      <w:r w:rsidRPr="00986275">
        <w:rPr>
          <w:rFonts w:ascii="Times New Roman" w:hAnsi="Times New Roman" w:cs="Times New Roman"/>
        </w:rPr>
        <w:t xml:space="preserve"> </w:t>
      </w:r>
      <w:r w:rsidRPr="00986275">
        <w:rPr>
          <w:rFonts w:ascii="Times New Roman" w:eastAsia="Times New Roman" w:hAnsi="Times New Roman" w:cs="Times New Roman"/>
          <w:i/>
          <w:lang w:eastAsia="it-IT"/>
        </w:rPr>
        <w:t>i.e</w:t>
      </w:r>
      <w:r w:rsidRPr="00986275">
        <w:rPr>
          <w:rFonts w:ascii="Times New Roman" w:eastAsia="Times New Roman" w:hAnsi="Times New Roman" w:cs="Times New Roman"/>
          <w:lang w:eastAsia="it-IT"/>
        </w:rPr>
        <w:t>. normativa antimafia; disposizioni in materia di tracciabilità dei flussi finanziari</w:t>
      </w:r>
      <w:r w:rsidRPr="00986275">
        <w:rPr>
          <w:rFonts w:ascii="Times New Roman" w:eastAsia="Times New Roman" w:hAnsi="Times New Roman" w:cs="Times New Roman"/>
          <w:i/>
          <w:lang w:eastAsia="it-IT"/>
        </w:rPr>
        <w:t xml:space="preserve"> ex</w:t>
      </w:r>
      <w:r w:rsidRPr="00986275">
        <w:rPr>
          <w:rFonts w:ascii="Times New Roman" w:eastAsia="Times New Roman" w:hAnsi="Times New Roman" w:cs="Times New Roman"/>
          <w:lang w:eastAsia="it-IT"/>
        </w:rPr>
        <w:t xml:space="preserve"> L. n. 136/2010 o di ritardi nei pagamenti della P.A.</w:t>
      </w:r>
      <w:r w:rsidRPr="00986275">
        <w:rPr>
          <w:rFonts w:ascii="Times New Roman" w:eastAsia="Times New Roman" w:hAnsi="Times New Roman" w:cs="Times New Roman"/>
          <w:i/>
          <w:lang w:eastAsia="it-IT"/>
        </w:rPr>
        <w:t xml:space="preserve"> ex</w:t>
      </w:r>
      <w:r w:rsidRPr="00986275">
        <w:rPr>
          <w:rFonts w:ascii="Times New Roman" w:eastAsia="Times New Roman" w:hAnsi="Times New Roman" w:cs="Times New Roman"/>
          <w:lang w:eastAsia="it-IT"/>
        </w:rPr>
        <w:t xml:space="preserve"> D.lgs. n. 192/2012 che ha modificato il D.lgs. n. 231/2002; norme in materia di forme di aggregazione della domanda, recenti norme in materia di interventi di mitigazione dei rischi idraulici e geomorfologici, adeguamento alla normativa antisismica; semplificazione delle procedure in materia di bonifica e messa in sicurezza dei siti contaminati; anticipazione del prezzo etc.</w:t>
      </w:r>
    </w:p>
  </w:footnote>
  <w:footnote w:id="3">
    <w:p w:rsidR="00A63B71" w:rsidRDefault="00A63B71">
      <w:pPr>
        <w:pStyle w:val="Testonotaapidipagina"/>
      </w:pPr>
      <w:r>
        <w:rPr>
          <w:rStyle w:val="Rimandonotaapidipagina"/>
        </w:rPr>
        <w:footnoteRef/>
      </w:r>
      <w:r>
        <w:t xml:space="preserve"> </w:t>
      </w:r>
      <w:r w:rsidRPr="00A539EC">
        <w:rPr>
          <w:rFonts w:ascii="Times New Roman" w:hAnsi="Times New Roman" w:cs="Times New Roman"/>
        </w:rPr>
        <w:t>allo stato superiori a 35.000</w:t>
      </w:r>
      <w:r>
        <w:rPr>
          <w:rFonts w:ascii="Times New Roman" w:hAnsi="Times New Roman" w:cs="Times New Roman"/>
        </w:rPr>
        <w:t>.</w:t>
      </w:r>
    </w:p>
  </w:footnote>
  <w:footnote w:id="4">
    <w:p w:rsidR="00A63B71" w:rsidRPr="00986275" w:rsidRDefault="00A63B71" w:rsidP="00986275">
      <w:pPr>
        <w:pStyle w:val="Testonotaapidipagina"/>
        <w:jc w:val="both"/>
        <w:rPr>
          <w:rFonts w:ascii="Times New Roman" w:eastAsia="BatangChe" w:hAnsi="Times New Roman" w:cs="Times New Roman"/>
        </w:rPr>
      </w:pPr>
      <w:r w:rsidRPr="00986275">
        <w:rPr>
          <w:rFonts w:ascii="Times New Roman" w:eastAsia="BatangChe" w:hAnsi="Times New Roman" w:cs="Times New Roman"/>
        </w:rPr>
        <w:footnoteRef/>
      </w:r>
      <w:r w:rsidRPr="00986275">
        <w:rPr>
          <w:rFonts w:ascii="Times New Roman" w:eastAsia="BatangChe" w:hAnsi="Times New Roman" w:cs="Times New Roman"/>
        </w:rPr>
        <w:t xml:space="preserve"> I dati ufficiali del CRESME, indicano ANAS quale prima </w:t>
      </w:r>
      <w:r w:rsidRPr="00986275">
        <w:rPr>
          <w:rFonts w:ascii="Times New Roman" w:eastAsia="BatangChe" w:hAnsi="Times New Roman" w:cs="Times New Roman"/>
          <w:b/>
          <w:bCs/>
        </w:rPr>
        <w:t>stazione appaltante d’Italia, fin dal 2007</w:t>
      </w:r>
      <w:r w:rsidRPr="00986275">
        <w:rPr>
          <w:rFonts w:ascii="Times New Roman" w:eastAsia="BatangChe" w:hAnsi="Times New Roman" w:cs="Times New Roman"/>
        </w:rPr>
        <w:t xml:space="preserve">, con </w:t>
      </w:r>
      <w:r w:rsidRPr="00986275">
        <w:rPr>
          <w:rFonts w:ascii="Times New Roman" w:eastAsia="BatangChe" w:hAnsi="Times New Roman" w:cs="Times New Roman"/>
          <w:b/>
          <w:bCs/>
        </w:rPr>
        <w:t xml:space="preserve">più di 5500 </w:t>
      </w:r>
      <w:r w:rsidRPr="00986275">
        <w:rPr>
          <w:rFonts w:ascii="Times New Roman" w:eastAsia="BatangChe" w:hAnsi="Times New Roman" w:cs="Times New Roman"/>
        </w:rPr>
        <w:t xml:space="preserve">bandi pubblicati nel periodo </w:t>
      </w:r>
      <w:r w:rsidRPr="00986275">
        <w:rPr>
          <w:rFonts w:ascii="Times New Roman" w:eastAsia="BatangChe" w:hAnsi="Times New Roman" w:cs="Times New Roman"/>
          <w:b/>
          <w:bCs/>
        </w:rPr>
        <w:t xml:space="preserve">2007-2014 </w:t>
      </w:r>
      <w:r w:rsidRPr="00986275">
        <w:rPr>
          <w:rFonts w:ascii="Times New Roman" w:eastAsia="BatangChe" w:hAnsi="Times New Roman" w:cs="Times New Roman"/>
        </w:rPr>
        <w:t xml:space="preserve">per un importo di </w:t>
      </w:r>
      <w:r w:rsidRPr="00986275">
        <w:rPr>
          <w:rFonts w:ascii="Times New Roman" w:eastAsia="BatangChe" w:hAnsi="Times New Roman" w:cs="Times New Roman"/>
          <w:b/>
          <w:bCs/>
        </w:rPr>
        <w:t>oltre 23 miliardi di Euro.</w:t>
      </w:r>
    </w:p>
  </w:footnote>
  <w:footnote w:id="5">
    <w:p w:rsidR="00A63B71" w:rsidRPr="00986275" w:rsidRDefault="00A63B71" w:rsidP="00986275">
      <w:pPr>
        <w:spacing w:after="0"/>
        <w:jc w:val="both"/>
        <w:rPr>
          <w:rFonts w:ascii="Times New Roman" w:hAnsi="Times New Roman" w:cs="Times New Roman"/>
          <w:sz w:val="20"/>
          <w:szCs w:val="20"/>
        </w:rPr>
      </w:pPr>
      <w:r w:rsidRPr="00986275">
        <w:rPr>
          <w:rStyle w:val="Rimandonotaapidipagina"/>
          <w:rFonts w:ascii="Times New Roman" w:hAnsi="Times New Roman" w:cs="Times New Roman"/>
          <w:sz w:val="20"/>
          <w:szCs w:val="20"/>
        </w:rPr>
        <w:footnoteRef/>
      </w:r>
      <w:r w:rsidRPr="00986275">
        <w:rPr>
          <w:rFonts w:ascii="Times New Roman" w:hAnsi="Times New Roman" w:cs="Times New Roman"/>
          <w:sz w:val="20"/>
          <w:szCs w:val="20"/>
        </w:rPr>
        <w:t xml:space="preserve"> </w:t>
      </w:r>
      <w:r w:rsidRPr="00986275">
        <w:rPr>
          <w:rFonts w:ascii="Times New Roman" w:eastAsia="Times New Roman" w:hAnsi="Times New Roman" w:cs="Times New Roman"/>
          <w:sz w:val="20"/>
          <w:szCs w:val="20"/>
          <w:lang w:eastAsia="it-IT"/>
        </w:rPr>
        <w:t xml:space="preserve">Nella medesima prospettiva si muove anche il cd. “Collegato Ambiente” alla Legge di stabilità per il 2014 – attualmente all’esame di codesta Commissione (A.S. 1676) che contiene misure intese alla </w:t>
      </w:r>
      <w:r w:rsidRPr="00986275">
        <w:rPr>
          <w:rFonts w:ascii="Times New Roman" w:eastAsia="Times New Roman" w:hAnsi="Times New Roman" w:cs="Times New Roman"/>
          <w:b/>
          <w:sz w:val="20"/>
          <w:szCs w:val="20"/>
          <w:lang w:eastAsia="it-IT"/>
        </w:rPr>
        <w:t>definizione delle politiche ambientali nazionali, per la prima volta coordinate con politiche di carattere economico-industriale</w:t>
      </w:r>
      <w:r w:rsidRPr="00986275">
        <w:rPr>
          <w:rFonts w:ascii="Times New Roman" w:eastAsia="Times New Roman" w:hAnsi="Times New Roman" w:cs="Times New Roman"/>
          <w:sz w:val="20"/>
          <w:szCs w:val="20"/>
          <w:lang w:eastAsia="it-IT"/>
        </w:rPr>
        <w:t xml:space="preserve">, ponendo le basi per una semplificazione e modernizzazione del quadro normativo di riferimento e creando nel contempo le condizioni per investimenti e crescita economica nel campo della </w:t>
      </w:r>
      <w:r w:rsidRPr="00986275">
        <w:rPr>
          <w:rFonts w:ascii="Times New Roman" w:eastAsia="Times New Roman" w:hAnsi="Times New Roman" w:cs="Times New Roman"/>
          <w:i/>
          <w:sz w:val="20"/>
          <w:szCs w:val="20"/>
          <w:lang w:eastAsia="it-IT"/>
        </w:rPr>
        <w:t>green economy</w:t>
      </w:r>
      <w:r w:rsidRPr="00986275">
        <w:rPr>
          <w:rFonts w:ascii="Times New Roman" w:eastAsia="Times New Roman" w:hAnsi="Times New Roman" w:cs="Times New Roman"/>
          <w:sz w:val="20"/>
          <w:szCs w:val="20"/>
          <w:lang w:eastAsia="it-I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AE4"/>
    <w:multiLevelType w:val="hybridMultilevel"/>
    <w:tmpl w:val="DB4464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2741113"/>
    <w:multiLevelType w:val="hybridMultilevel"/>
    <w:tmpl w:val="5CBCEA7C"/>
    <w:lvl w:ilvl="0" w:tplc="DCD0A34A">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4A66A82"/>
    <w:multiLevelType w:val="hybridMultilevel"/>
    <w:tmpl w:val="95EE62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7FE2B10"/>
    <w:multiLevelType w:val="hybridMultilevel"/>
    <w:tmpl w:val="7BCCE2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CF05CD1"/>
    <w:multiLevelType w:val="hybridMultilevel"/>
    <w:tmpl w:val="FF420A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8AC1326"/>
    <w:multiLevelType w:val="hybridMultilevel"/>
    <w:tmpl w:val="9482C7F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E9304AE"/>
    <w:multiLevelType w:val="hybridMultilevel"/>
    <w:tmpl w:val="4D562A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9DF6EFB"/>
    <w:multiLevelType w:val="hybridMultilevel"/>
    <w:tmpl w:val="C5D068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CEE3390"/>
    <w:multiLevelType w:val="hybridMultilevel"/>
    <w:tmpl w:val="9D4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E83CCC"/>
    <w:multiLevelType w:val="hybridMultilevel"/>
    <w:tmpl w:val="ED4059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8714EFC"/>
    <w:multiLevelType w:val="hybridMultilevel"/>
    <w:tmpl w:val="9D8CA7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9E50D26"/>
    <w:multiLevelType w:val="hybridMultilevel"/>
    <w:tmpl w:val="3F667BAC"/>
    <w:lvl w:ilvl="0" w:tplc="B03A4810">
      <w:start w:val="1"/>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3A7043A"/>
    <w:multiLevelType w:val="hybridMultilevel"/>
    <w:tmpl w:val="4D34231A"/>
    <w:lvl w:ilvl="0" w:tplc="DCD0A34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497DD9"/>
    <w:multiLevelType w:val="hybridMultilevel"/>
    <w:tmpl w:val="A90235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7B66507E"/>
    <w:multiLevelType w:val="hybridMultilevel"/>
    <w:tmpl w:val="A78640B8"/>
    <w:lvl w:ilvl="0" w:tplc="B03A4810">
      <w:start w:val="1"/>
      <w:numFmt w:val="bullet"/>
      <w:lvlText w:val="-"/>
      <w:lvlJc w:val="left"/>
      <w:pPr>
        <w:ind w:left="737" w:hanging="720"/>
      </w:pPr>
      <w:rPr>
        <w:rFonts w:ascii="Times New Roman" w:eastAsia="Times New Roman" w:hAnsi="Times New Roman" w:cs="Times New Roman" w:hint="default"/>
        <w:b/>
      </w:rPr>
    </w:lvl>
    <w:lvl w:ilvl="1" w:tplc="04100019" w:tentative="1">
      <w:start w:val="1"/>
      <w:numFmt w:val="lowerLetter"/>
      <w:lvlText w:val="%2."/>
      <w:lvlJc w:val="left"/>
      <w:pPr>
        <w:ind w:left="1097" w:hanging="360"/>
      </w:pPr>
    </w:lvl>
    <w:lvl w:ilvl="2" w:tplc="0410001B" w:tentative="1">
      <w:start w:val="1"/>
      <w:numFmt w:val="lowerRoman"/>
      <w:lvlText w:val="%3."/>
      <w:lvlJc w:val="right"/>
      <w:pPr>
        <w:ind w:left="1817" w:hanging="180"/>
      </w:pPr>
    </w:lvl>
    <w:lvl w:ilvl="3" w:tplc="0410000F" w:tentative="1">
      <w:start w:val="1"/>
      <w:numFmt w:val="decimal"/>
      <w:lvlText w:val="%4."/>
      <w:lvlJc w:val="left"/>
      <w:pPr>
        <w:ind w:left="2537" w:hanging="360"/>
      </w:pPr>
    </w:lvl>
    <w:lvl w:ilvl="4" w:tplc="04100019" w:tentative="1">
      <w:start w:val="1"/>
      <w:numFmt w:val="lowerLetter"/>
      <w:lvlText w:val="%5."/>
      <w:lvlJc w:val="left"/>
      <w:pPr>
        <w:ind w:left="3257" w:hanging="360"/>
      </w:pPr>
    </w:lvl>
    <w:lvl w:ilvl="5" w:tplc="0410001B" w:tentative="1">
      <w:start w:val="1"/>
      <w:numFmt w:val="lowerRoman"/>
      <w:lvlText w:val="%6."/>
      <w:lvlJc w:val="right"/>
      <w:pPr>
        <w:ind w:left="3977" w:hanging="180"/>
      </w:pPr>
    </w:lvl>
    <w:lvl w:ilvl="6" w:tplc="0410000F" w:tentative="1">
      <w:start w:val="1"/>
      <w:numFmt w:val="decimal"/>
      <w:lvlText w:val="%7."/>
      <w:lvlJc w:val="left"/>
      <w:pPr>
        <w:ind w:left="4697" w:hanging="360"/>
      </w:pPr>
    </w:lvl>
    <w:lvl w:ilvl="7" w:tplc="04100019" w:tentative="1">
      <w:start w:val="1"/>
      <w:numFmt w:val="lowerLetter"/>
      <w:lvlText w:val="%8."/>
      <w:lvlJc w:val="left"/>
      <w:pPr>
        <w:ind w:left="5417" w:hanging="360"/>
      </w:pPr>
    </w:lvl>
    <w:lvl w:ilvl="8" w:tplc="0410001B" w:tentative="1">
      <w:start w:val="1"/>
      <w:numFmt w:val="lowerRoman"/>
      <w:lvlText w:val="%9."/>
      <w:lvlJc w:val="right"/>
      <w:pPr>
        <w:ind w:left="6137" w:hanging="180"/>
      </w:pPr>
    </w:lvl>
  </w:abstractNum>
  <w:num w:numId="1">
    <w:abstractNumId w:val="14"/>
  </w:num>
  <w:num w:numId="2">
    <w:abstractNumId w:val="11"/>
  </w:num>
  <w:num w:numId="3">
    <w:abstractNumId w:val="12"/>
  </w:num>
  <w:num w:numId="4">
    <w:abstractNumId w:val="9"/>
  </w:num>
  <w:num w:numId="5">
    <w:abstractNumId w:val="2"/>
  </w:num>
  <w:num w:numId="6">
    <w:abstractNumId w:val="4"/>
  </w:num>
  <w:num w:numId="7">
    <w:abstractNumId w:val="10"/>
  </w:num>
  <w:num w:numId="8">
    <w:abstractNumId w:val="6"/>
  </w:num>
  <w:num w:numId="9">
    <w:abstractNumId w:val="7"/>
  </w:num>
  <w:num w:numId="10">
    <w:abstractNumId w:val="13"/>
  </w:num>
  <w:num w:numId="11">
    <w:abstractNumId w:val="0"/>
  </w:num>
  <w:num w:numId="12">
    <w:abstractNumId w:val="3"/>
  </w:num>
  <w:num w:numId="13">
    <w:abstractNumId w:val="8"/>
  </w:num>
  <w:num w:numId="14">
    <w:abstractNumId w:val="1"/>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rsids>
    <w:rsidRoot w:val="00DF774A"/>
    <w:rsid w:val="00005F23"/>
    <w:rsid w:val="00006D53"/>
    <w:rsid w:val="000321EE"/>
    <w:rsid w:val="0009187C"/>
    <w:rsid w:val="000C150E"/>
    <w:rsid w:val="000C5A4D"/>
    <w:rsid w:val="000C7E21"/>
    <w:rsid w:val="000D4793"/>
    <w:rsid w:val="000F0849"/>
    <w:rsid w:val="000F3F85"/>
    <w:rsid w:val="00131C05"/>
    <w:rsid w:val="00151E92"/>
    <w:rsid w:val="00152361"/>
    <w:rsid w:val="00191D70"/>
    <w:rsid w:val="001B77A8"/>
    <w:rsid w:val="001C4ED3"/>
    <w:rsid w:val="001D1C3A"/>
    <w:rsid w:val="001D6133"/>
    <w:rsid w:val="001E4972"/>
    <w:rsid w:val="001F7D13"/>
    <w:rsid w:val="00264415"/>
    <w:rsid w:val="002751F4"/>
    <w:rsid w:val="00284987"/>
    <w:rsid w:val="002B5D96"/>
    <w:rsid w:val="002B6784"/>
    <w:rsid w:val="002D3E3E"/>
    <w:rsid w:val="002E1148"/>
    <w:rsid w:val="002F0447"/>
    <w:rsid w:val="00343D23"/>
    <w:rsid w:val="0035390D"/>
    <w:rsid w:val="003570D1"/>
    <w:rsid w:val="00370DE2"/>
    <w:rsid w:val="0037120C"/>
    <w:rsid w:val="00374E90"/>
    <w:rsid w:val="00396B05"/>
    <w:rsid w:val="003A2DE4"/>
    <w:rsid w:val="003D74A2"/>
    <w:rsid w:val="003E327E"/>
    <w:rsid w:val="0040487F"/>
    <w:rsid w:val="00413A24"/>
    <w:rsid w:val="00420119"/>
    <w:rsid w:val="00424794"/>
    <w:rsid w:val="00480D27"/>
    <w:rsid w:val="00492588"/>
    <w:rsid w:val="004B6364"/>
    <w:rsid w:val="004C105B"/>
    <w:rsid w:val="0056491D"/>
    <w:rsid w:val="005667E9"/>
    <w:rsid w:val="00573846"/>
    <w:rsid w:val="00576C85"/>
    <w:rsid w:val="00580BEF"/>
    <w:rsid w:val="00586E8A"/>
    <w:rsid w:val="005D4C09"/>
    <w:rsid w:val="005E2B56"/>
    <w:rsid w:val="005E56FA"/>
    <w:rsid w:val="006108B9"/>
    <w:rsid w:val="006503F0"/>
    <w:rsid w:val="006858F7"/>
    <w:rsid w:val="00694366"/>
    <w:rsid w:val="006A6BD4"/>
    <w:rsid w:val="006B4CB1"/>
    <w:rsid w:val="006D407E"/>
    <w:rsid w:val="006E781A"/>
    <w:rsid w:val="00730C4C"/>
    <w:rsid w:val="00733B92"/>
    <w:rsid w:val="00746EFD"/>
    <w:rsid w:val="007A6873"/>
    <w:rsid w:val="007B3BEA"/>
    <w:rsid w:val="007D106B"/>
    <w:rsid w:val="007E0E39"/>
    <w:rsid w:val="0084130C"/>
    <w:rsid w:val="00851BDD"/>
    <w:rsid w:val="008645D5"/>
    <w:rsid w:val="00880125"/>
    <w:rsid w:val="00886B19"/>
    <w:rsid w:val="008A25BB"/>
    <w:rsid w:val="008E0683"/>
    <w:rsid w:val="008E2D77"/>
    <w:rsid w:val="009063D6"/>
    <w:rsid w:val="0093257F"/>
    <w:rsid w:val="00971667"/>
    <w:rsid w:val="00983306"/>
    <w:rsid w:val="00986275"/>
    <w:rsid w:val="00997035"/>
    <w:rsid w:val="009A1CBE"/>
    <w:rsid w:val="009A38A6"/>
    <w:rsid w:val="009C44F6"/>
    <w:rsid w:val="00A22EFC"/>
    <w:rsid w:val="00A3031C"/>
    <w:rsid w:val="00A3288B"/>
    <w:rsid w:val="00A45C40"/>
    <w:rsid w:val="00A539EC"/>
    <w:rsid w:val="00A63B71"/>
    <w:rsid w:val="00A718F7"/>
    <w:rsid w:val="00A9023D"/>
    <w:rsid w:val="00AA61BE"/>
    <w:rsid w:val="00AE0F48"/>
    <w:rsid w:val="00AE6585"/>
    <w:rsid w:val="00B36E5E"/>
    <w:rsid w:val="00B436D6"/>
    <w:rsid w:val="00B56690"/>
    <w:rsid w:val="00B638DD"/>
    <w:rsid w:val="00B647E1"/>
    <w:rsid w:val="00B67093"/>
    <w:rsid w:val="00B7630C"/>
    <w:rsid w:val="00B76661"/>
    <w:rsid w:val="00BC7E47"/>
    <w:rsid w:val="00C02FB1"/>
    <w:rsid w:val="00C363E4"/>
    <w:rsid w:val="00C7442C"/>
    <w:rsid w:val="00C81831"/>
    <w:rsid w:val="00CA7A76"/>
    <w:rsid w:val="00CD4C42"/>
    <w:rsid w:val="00CF3086"/>
    <w:rsid w:val="00CF4CF4"/>
    <w:rsid w:val="00CF7537"/>
    <w:rsid w:val="00D05068"/>
    <w:rsid w:val="00D204C0"/>
    <w:rsid w:val="00D210AA"/>
    <w:rsid w:val="00D903A3"/>
    <w:rsid w:val="00D95E85"/>
    <w:rsid w:val="00DA26D9"/>
    <w:rsid w:val="00DA5A0F"/>
    <w:rsid w:val="00DC04AA"/>
    <w:rsid w:val="00DC165E"/>
    <w:rsid w:val="00DC6D45"/>
    <w:rsid w:val="00DD11EC"/>
    <w:rsid w:val="00DF774A"/>
    <w:rsid w:val="00E4113A"/>
    <w:rsid w:val="00E437BC"/>
    <w:rsid w:val="00E46735"/>
    <w:rsid w:val="00E57DFD"/>
    <w:rsid w:val="00EA4C10"/>
    <w:rsid w:val="00EB1DB0"/>
    <w:rsid w:val="00EB7C86"/>
    <w:rsid w:val="00EC05D8"/>
    <w:rsid w:val="00EE6CA7"/>
    <w:rsid w:val="00EF2588"/>
    <w:rsid w:val="00EF59D9"/>
    <w:rsid w:val="00F17A9B"/>
    <w:rsid w:val="00F208AC"/>
    <w:rsid w:val="00F2440A"/>
    <w:rsid w:val="00F24CB5"/>
    <w:rsid w:val="00F402BB"/>
    <w:rsid w:val="00F90200"/>
    <w:rsid w:val="00FB3E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13A"/>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063D6"/>
    <w:pPr>
      <w:ind w:left="720"/>
      <w:contextualSpacing/>
    </w:pPr>
    <w:rPr>
      <w:rFonts w:ascii="Calibri" w:eastAsia="Calibri" w:hAnsi="Calibri" w:cs="Times New Roman"/>
    </w:rPr>
  </w:style>
  <w:style w:type="paragraph" w:styleId="Testonotaapidipagina">
    <w:name w:val="footnote text"/>
    <w:basedOn w:val="Normale"/>
    <w:link w:val="TestonotaapidipaginaCarattere"/>
    <w:uiPriority w:val="99"/>
    <w:unhideWhenUsed/>
    <w:rsid w:val="00DA5A0F"/>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DA5A0F"/>
    <w:rPr>
      <w:sz w:val="20"/>
      <w:szCs w:val="20"/>
    </w:rPr>
  </w:style>
  <w:style w:type="character" w:styleId="Rimandonotaapidipagina">
    <w:name w:val="footnote reference"/>
    <w:basedOn w:val="Carpredefinitoparagrafo"/>
    <w:uiPriority w:val="99"/>
    <w:unhideWhenUsed/>
    <w:rsid w:val="00DA5A0F"/>
    <w:rPr>
      <w:vertAlign w:val="superscript"/>
    </w:rPr>
  </w:style>
  <w:style w:type="paragraph" w:styleId="Rientrocorpodeltesto3">
    <w:name w:val="Body Text Indent 3"/>
    <w:basedOn w:val="Normale"/>
    <w:link w:val="Rientrocorpodeltesto3Carattere"/>
    <w:uiPriority w:val="99"/>
    <w:unhideWhenUsed/>
    <w:rsid w:val="006858F7"/>
    <w:pPr>
      <w:spacing w:after="120" w:line="276" w:lineRule="auto"/>
      <w:ind w:left="283"/>
    </w:pPr>
    <w:rPr>
      <w:rFonts w:ascii="Calibri" w:eastAsia="Times New Roman" w:hAnsi="Calibri"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6858F7"/>
    <w:rPr>
      <w:rFonts w:ascii="Calibri" w:eastAsia="Times New Roman" w:hAnsi="Calibri" w:cs="Times New Roman"/>
      <w:sz w:val="16"/>
      <w:szCs w:val="16"/>
      <w:lang w:eastAsia="it-IT"/>
    </w:rPr>
  </w:style>
  <w:style w:type="paragraph" w:styleId="Intestazione">
    <w:name w:val="header"/>
    <w:basedOn w:val="Normale"/>
    <w:link w:val="IntestazioneCarattere"/>
    <w:uiPriority w:val="99"/>
    <w:semiHidden/>
    <w:unhideWhenUsed/>
    <w:rsid w:val="006B4CB1"/>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6B4CB1"/>
  </w:style>
  <w:style w:type="paragraph" w:styleId="Pidipagina">
    <w:name w:val="footer"/>
    <w:basedOn w:val="Normale"/>
    <w:link w:val="PidipaginaCarattere"/>
    <w:uiPriority w:val="99"/>
    <w:unhideWhenUsed/>
    <w:rsid w:val="006B4CB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B4CB1"/>
  </w:style>
  <w:style w:type="character" w:customStyle="1" w:styleId="ParagrafoelencoCarattere">
    <w:name w:val="Paragrafo elenco Carattere"/>
    <w:basedOn w:val="Carpredefinitoparagrafo"/>
    <w:link w:val="Paragrafoelenco"/>
    <w:uiPriority w:val="34"/>
    <w:locked/>
    <w:rsid w:val="008801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7016773">
      <w:bodyDiv w:val="1"/>
      <w:marLeft w:val="0"/>
      <w:marRight w:val="0"/>
      <w:marTop w:val="0"/>
      <w:marBottom w:val="0"/>
      <w:divBdr>
        <w:top w:val="none" w:sz="0" w:space="0" w:color="auto"/>
        <w:left w:val="none" w:sz="0" w:space="0" w:color="auto"/>
        <w:bottom w:val="none" w:sz="0" w:space="0" w:color="auto"/>
        <w:right w:val="none" w:sz="0" w:space="0" w:color="auto"/>
      </w:divBdr>
    </w:div>
    <w:div w:id="905603652">
      <w:bodyDiv w:val="1"/>
      <w:marLeft w:val="0"/>
      <w:marRight w:val="0"/>
      <w:marTop w:val="0"/>
      <w:marBottom w:val="0"/>
      <w:divBdr>
        <w:top w:val="none" w:sz="0" w:space="0" w:color="auto"/>
        <w:left w:val="none" w:sz="0" w:space="0" w:color="auto"/>
        <w:bottom w:val="none" w:sz="0" w:space="0" w:color="auto"/>
        <w:right w:val="none" w:sz="0" w:space="0" w:color="auto"/>
      </w:divBdr>
      <w:divsChild>
        <w:div w:id="41901754">
          <w:marLeft w:val="0"/>
          <w:marRight w:val="0"/>
          <w:marTop w:val="0"/>
          <w:marBottom w:val="0"/>
          <w:divBdr>
            <w:top w:val="none" w:sz="0" w:space="0" w:color="auto"/>
            <w:left w:val="none" w:sz="0" w:space="0" w:color="auto"/>
            <w:bottom w:val="none" w:sz="0" w:space="0" w:color="auto"/>
            <w:right w:val="none" w:sz="0" w:space="0" w:color="auto"/>
          </w:divBdr>
        </w:div>
      </w:divsChild>
    </w:div>
    <w:div w:id="984436275">
      <w:bodyDiv w:val="1"/>
      <w:marLeft w:val="0"/>
      <w:marRight w:val="0"/>
      <w:marTop w:val="0"/>
      <w:marBottom w:val="0"/>
      <w:divBdr>
        <w:top w:val="none" w:sz="0" w:space="0" w:color="auto"/>
        <w:left w:val="none" w:sz="0" w:space="0" w:color="auto"/>
        <w:bottom w:val="none" w:sz="0" w:space="0" w:color="auto"/>
        <w:right w:val="none" w:sz="0" w:space="0" w:color="auto"/>
      </w:divBdr>
      <w:divsChild>
        <w:div w:id="1612473049">
          <w:marLeft w:val="0"/>
          <w:marRight w:val="0"/>
          <w:marTop w:val="0"/>
          <w:marBottom w:val="0"/>
          <w:divBdr>
            <w:top w:val="none" w:sz="0" w:space="0" w:color="auto"/>
            <w:left w:val="none" w:sz="0" w:space="0" w:color="auto"/>
            <w:bottom w:val="none" w:sz="0" w:space="0" w:color="auto"/>
            <w:right w:val="none" w:sz="0" w:space="0" w:color="auto"/>
          </w:divBdr>
          <w:divsChild>
            <w:div w:id="2144106123">
              <w:marLeft w:val="0"/>
              <w:marRight w:val="0"/>
              <w:marTop w:val="0"/>
              <w:marBottom w:val="0"/>
              <w:divBdr>
                <w:top w:val="none" w:sz="0" w:space="0" w:color="auto"/>
                <w:left w:val="none" w:sz="0" w:space="0" w:color="auto"/>
                <w:bottom w:val="none" w:sz="0" w:space="0" w:color="auto"/>
                <w:right w:val="none" w:sz="0" w:space="0" w:color="auto"/>
              </w:divBdr>
              <w:divsChild>
                <w:div w:id="11143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2329">
      <w:bodyDiv w:val="1"/>
      <w:marLeft w:val="0"/>
      <w:marRight w:val="0"/>
      <w:marTop w:val="0"/>
      <w:marBottom w:val="0"/>
      <w:divBdr>
        <w:top w:val="none" w:sz="0" w:space="0" w:color="auto"/>
        <w:left w:val="none" w:sz="0" w:space="0" w:color="auto"/>
        <w:bottom w:val="none" w:sz="0" w:space="0" w:color="auto"/>
        <w:right w:val="none" w:sz="0" w:space="0" w:color="auto"/>
      </w:divBdr>
      <w:divsChild>
        <w:div w:id="1427001094">
          <w:marLeft w:val="0"/>
          <w:marRight w:val="0"/>
          <w:marTop w:val="0"/>
          <w:marBottom w:val="0"/>
          <w:divBdr>
            <w:top w:val="none" w:sz="0" w:space="0" w:color="auto"/>
            <w:left w:val="none" w:sz="0" w:space="0" w:color="auto"/>
            <w:bottom w:val="none" w:sz="0" w:space="0" w:color="auto"/>
            <w:right w:val="none" w:sz="0" w:space="0" w:color="auto"/>
          </w:divBdr>
          <w:divsChild>
            <w:div w:id="1160851912">
              <w:marLeft w:val="0"/>
              <w:marRight w:val="0"/>
              <w:marTop w:val="0"/>
              <w:marBottom w:val="0"/>
              <w:divBdr>
                <w:top w:val="none" w:sz="0" w:space="0" w:color="auto"/>
                <w:left w:val="none" w:sz="0" w:space="0" w:color="auto"/>
                <w:bottom w:val="none" w:sz="0" w:space="0" w:color="auto"/>
                <w:right w:val="none" w:sz="0" w:space="0" w:color="auto"/>
              </w:divBdr>
              <w:divsChild>
                <w:div w:id="2058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6817">
      <w:bodyDiv w:val="1"/>
      <w:marLeft w:val="0"/>
      <w:marRight w:val="0"/>
      <w:marTop w:val="0"/>
      <w:marBottom w:val="0"/>
      <w:divBdr>
        <w:top w:val="none" w:sz="0" w:space="0" w:color="auto"/>
        <w:left w:val="none" w:sz="0" w:space="0" w:color="auto"/>
        <w:bottom w:val="none" w:sz="0" w:space="0" w:color="auto"/>
        <w:right w:val="none" w:sz="0" w:space="0" w:color="auto"/>
      </w:divBdr>
      <w:divsChild>
        <w:div w:id="1119568446">
          <w:marLeft w:val="0"/>
          <w:marRight w:val="0"/>
          <w:marTop w:val="0"/>
          <w:marBottom w:val="0"/>
          <w:divBdr>
            <w:top w:val="none" w:sz="0" w:space="0" w:color="auto"/>
            <w:left w:val="none" w:sz="0" w:space="0" w:color="auto"/>
            <w:bottom w:val="none" w:sz="0" w:space="0" w:color="auto"/>
            <w:right w:val="none" w:sz="0" w:space="0" w:color="auto"/>
          </w:divBdr>
          <w:divsChild>
            <w:div w:id="1557203633">
              <w:marLeft w:val="0"/>
              <w:marRight w:val="0"/>
              <w:marTop w:val="0"/>
              <w:marBottom w:val="0"/>
              <w:divBdr>
                <w:top w:val="none" w:sz="0" w:space="0" w:color="auto"/>
                <w:left w:val="none" w:sz="0" w:space="0" w:color="auto"/>
                <w:bottom w:val="none" w:sz="0" w:space="0" w:color="auto"/>
                <w:right w:val="none" w:sz="0" w:space="0" w:color="auto"/>
              </w:divBdr>
              <w:divsChild>
                <w:div w:id="1989360640">
                  <w:marLeft w:val="0"/>
                  <w:marRight w:val="0"/>
                  <w:marTop w:val="0"/>
                  <w:marBottom w:val="0"/>
                  <w:divBdr>
                    <w:top w:val="none" w:sz="0" w:space="0" w:color="auto"/>
                    <w:left w:val="single" w:sz="6" w:space="0" w:color="DDDDDD"/>
                    <w:bottom w:val="none" w:sz="0" w:space="0" w:color="auto"/>
                    <w:right w:val="single" w:sz="6" w:space="0" w:color="DDDDDD"/>
                  </w:divBdr>
                  <w:divsChild>
                    <w:div w:id="1169490303">
                      <w:marLeft w:val="0"/>
                      <w:marRight w:val="0"/>
                      <w:marTop w:val="0"/>
                      <w:marBottom w:val="0"/>
                      <w:divBdr>
                        <w:top w:val="none" w:sz="0" w:space="0" w:color="auto"/>
                        <w:left w:val="none" w:sz="0" w:space="0" w:color="auto"/>
                        <w:bottom w:val="none" w:sz="0" w:space="0" w:color="auto"/>
                        <w:right w:val="none" w:sz="0" w:space="0" w:color="auto"/>
                      </w:divBdr>
                      <w:divsChild>
                        <w:div w:id="63843012">
                          <w:marLeft w:val="0"/>
                          <w:marRight w:val="0"/>
                          <w:marTop w:val="0"/>
                          <w:marBottom w:val="0"/>
                          <w:divBdr>
                            <w:top w:val="none" w:sz="0" w:space="0" w:color="auto"/>
                            <w:left w:val="none" w:sz="0" w:space="0" w:color="auto"/>
                            <w:bottom w:val="none" w:sz="0" w:space="0" w:color="auto"/>
                            <w:right w:val="none" w:sz="0" w:space="0" w:color="auto"/>
                          </w:divBdr>
                          <w:divsChild>
                            <w:div w:id="2107113575">
                              <w:marLeft w:val="0"/>
                              <w:marRight w:val="0"/>
                              <w:marTop w:val="0"/>
                              <w:marBottom w:val="0"/>
                              <w:divBdr>
                                <w:top w:val="none" w:sz="0" w:space="0" w:color="auto"/>
                                <w:left w:val="none" w:sz="0" w:space="0" w:color="auto"/>
                                <w:bottom w:val="none" w:sz="0" w:space="0" w:color="auto"/>
                                <w:right w:val="none" w:sz="0" w:space="0" w:color="auto"/>
                              </w:divBdr>
                              <w:divsChild>
                                <w:div w:id="674190328">
                                  <w:marLeft w:val="0"/>
                                  <w:marRight w:val="0"/>
                                  <w:marTop w:val="0"/>
                                  <w:marBottom w:val="0"/>
                                  <w:divBdr>
                                    <w:top w:val="none" w:sz="0" w:space="0" w:color="auto"/>
                                    <w:left w:val="none" w:sz="0" w:space="0" w:color="auto"/>
                                    <w:bottom w:val="none" w:sz="0" w:space="0" w:color="auto"/>
                                    <w:right w:val="none" w:sz="0" w:space="0" w:color="auto"/>
                                  </w:divBdr>
                                  <w:divsChild>
                                    <w:div w:id="781341639">
                                      <w:marLeft w:val="0"/>
                                      <w:marRight w:val="0"/>
                                      <w:marTop w:val="0"/>
                                      <w:marBottom w:val="0"/>
                                      <w:divBdr>
                                        <w:top w:val="none" w:sz="0" w:space="0" w:color="auto"/>
                                        <w:left w:val="none" w:sz="0" w:space="0" w:color="auto"/>
                                        <w:bottom w:val="none" w:sz="0" w:space="0" w:color="auto"/>
                                        <w:right w:val="none" w:sz="0" w:space="0" w:color="auto"/>
                                      </w:divBdr>
                                      <w:divsChild>
                                        <w:div w:id="855315922">
                                          <w:marLeft w:val="0"/>
                                          <w:marRight w:val="0"/>
                                          <w:marTop w:val="0"/>
                                          <w:marBottom w:val="0"/>
                                          <w:divBdr>
                                            <w:top w:val="none" w:sz="0" w:space="0" w:color="auto"/>
                                            <w:left w:val="none" w:sz="0" w:space="0" w:color="auto"/>
                                            <w:bottom w:val="none" w:sz="0" w:space="0" w:color="auto"/>
                                            <w:right w:val="none" w:sz="0" w:space="0" w:color="auto"/>
                                          </w:divBdr>
                                          <w:divsChild>
                                            <w:div w:id="2125297000">
                                              <w:marLeft w:val="0"/>
                                              <w:marRight w:val="0"/>
                                              <w:marTop w:val="0"/>
                                              <w:marBottom w:val="335"/>
                                              <w:divBdr>
                                                <w:top w:val="none" w:sz="0" w:space="0" w:color="auto"/>
                                                <w:left w:val="none" w:sz="0" w:space="0" w:color="auto"/>
                                                <w:bottom w:val="none" w:sz="0" w:space="0" w:color="auto"/>
                                                <w:right w:val="none" w:sz="0" w:space="0" w:color="auto"/>
                                              </w:divBdr>
                                              <w:divsChild>
                                                <w:div w:id="582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501205">
      <w:bodyDiv w:val="1"/>
      <w:marLeft w:val="0"/>
      <w:marRight w:val="0"/>
      <w:marTop w:val="0"/>
      <w:marBottom w:val="0"/>
      <w:divBdr>
        <w:top w:val="none" w:sz="0" w:space="0" w:color="auto"/>
        <w:left w:val="none" w:sz="0" w:space="0" w:color="auto"/>
        <w:bottom w:val="none" w:sz="0" w:space="0" w:color="auto"/>
        <w:right w:val="none" w:sz="0" w:space="0" w:color="auto"/>
      </w:divBdr>
    </w:div>
    <w:div w:id="1807700339">
      <w:bodyDiv w:val="1"/>
      <w:marLeft w:val="0"/>
      <w:marRight w:val="0"/>
      <w:marTop w:val="0"/>
      <w:marBottom w:val="0"/>
      <w:divBdr>
        <w:top w:val="none" w:sz="0" w:space="0" w:color="auto"/>
        <w:left w:val="none" w:sz="0" w:space="0" w:color="auto"/>
        <w:bottom w:val="none" w:sz="0" w:space="0" w:color="auto"/>
        <w:right w:val="none" w:sz="0" w:space="0" w:color="auto"/>
      </w:divBdr>
      <w:divsChild>
        <w:div w:id="38961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AEB1-4B33-4040-8A7E-AD9EE5CF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3701</Words>
  <Characters>21096</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ANAS S.p.A.</Company>
  <LinksUpToDate>false</LinksUpToDate>
  <CharactersWithSpaces>24748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a22973e</cp:lastModifiedBy>
  <cp:revision>2</cp:revision>
  <dcterms:created xsi:type="dcterms:W3CDTF">2015-03-16T14:45:00Z</dcterms:created>
  <dcterms:modified xsi:type="dcterms:W3CDTF">2015-03-16T14:45:00Z</dcterms:modified>
</cp:coreProperties>
</file>