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63" w:rsidRDefault="004F3363" w:rsidP="004F3363">
      <w:pPr>
        <w:spacing w:line="300" w:lineRule="atLeast"/>
        <w:jc w:val="center"/>
        <w:rPr>
          <w:rFonts w:ascii="Arial" w:hAnsi="Arial" w:cs="Arial"/>
          <w:b/>
          <w:bCs/>
        </w:rPr>
      </w:pPr>
    </w:p>
    <w:p w:rsidR="004F3363" w:rsidRDefault="004F3363" w:rsidP="004F3363">
      <w:pPr>
        <w:spacing w:line="300" w:lineRule="atLeast"/>
        <w:jc w:val="center"/>
        <w:rPr>
          <w:rFonts w:ascii="Arial" w:hAnsi="Arial" w:cs="Arial"/>
          <w:b/>
          <w:bCs/>
        </w:rPr>
      </w:pPr>
    </w:p>
    <w:p w:rsidR="004F3363" w:rsidRDefault="004F3363" w:rsidP="004F3363">
      <w:pPr>
        <w:spacing w:line="300" w:lineRule="atLeast"/>
        <w:jc w:val="center"/>
        <w:rPr>
          <w:rFonts w:ascii="Arial" w:hAnsi="Arial" w:cs="Arial"/>
          <w:b/>
          <w:bCs/>
        </w:rPr>
      </w:pPr>
    </w:p>
    <w:p w:rsidR="004F3363" w:rsidRDefault="004F3363" w:rsidP="004F3363">
      <w:pPr>
        <w:spacing w:line="300" w:lineRule="atLeast"/>
        <w:jc w:val="center"/>
        <w:rPr>
          <w:rFonts w:ascii="Arial" w:hAnsi="Arial" w:cs="Arial"/>
          <w:b/>
          <w:bCs/>
        </w:rPr>
      </w:pPr>
    </w:p>
    <w:p w:rsidR="004F3363" w:rsidRDefault="004F3363" w:rsidP="004F3363">
      <w:pPr>
        <w:spacing w:line="300" w:lineRule="atLeast"/>
        <w:jc w:val="center"/>
      </w:pPr>
      <w:r>
        <w:rPr>
          <w:rFonts w:ascii="Arial" w:hAnsi="Arial" w:cs="Arial"/>
          <w:b/>
          <w:bCs/>
        </w:rPr>
        <w:t>Scheda A19</w:t>
      </w:r>
    </w:p>
    <w:p w:rsidR="004F3363" w:rsidRDefault="004F3363" w:rsidP="004F3363">
      <w:pPr>
        <w:spacing w:line="300" w:lineRule="atLeast"/>
        <w:jc w:val="center"/>
      </w:pPr>
      <w:r>
        <w:rPr>
          <w:rFonts w:ascii="Arial" w:hAnsi="Arial" w:cs="Arial"/>
          <w:b/>
          <w:bCs/>
        </w:rPr>
        <w:t>Il Programma di riqualificazione da 842 milioni di euro e il Protocollo Anas – Ispra</w:t>
      </w:r>
    </w:p>
    <w:p w:rsidR="004F3363" w:rsidRDefault="004F3363" w:rsidP="004F3363">
      <w:pPr>
        <w:spacing w:line="300" w:lineRule="atLeast"/>
        <w:jc w:val="both"/>
      </w:pPr>
      <w:r>
        <w:rPr>
          <w:rFonts w:ascii="Arial" w:hAnsi="Arial" w:cs="Arial"/>
        </w:rPr>
        <w:t> </w:t>
      </w:r>
    </w:p>
    <w:p w:rsidR="004F3363" w:rsidRDefault="004F3363" w:rsidP="004F3363">
      <w:pPr>
        <w:spacing w:line="300" w:lineRule="atLeast"/>
        <w:jc w:val="both"/>
      </w:pPr>
      <w:r>
        <w:rPr>
          <w:rFonts w:ascii="Arial" w:hAnsi="Arial" w:cs="Arial"/>
        </w:rPr>
        <w:t>L’A19 è stata realizzata tra gli anni 1965/75.</w:t>
      </w:r>
    </w:p>
    <w:p w:rsidR="004F3363" w:rsidRDefault="004F3363" w:rsidP="004F3363">
      <w:pPr>
        <w:spacing w:line="300" w:lineRule="atLeast"/>
        <w:jc w:val="both"/>
      </w:pPr>
      <w:r>
        <w:rPr>
          <w:rFonts w:ascii="Arial" w:hAnsi="Arial" w:cs="Arial"/>
        </w:rPr>
        <w:t>Nel 1970 viene aperto al traffico il tratto Palermo-</w:t>
      </w:r>
      <w:proofErr w:type="spellStart"/>
      <w:r>
        <w:rPr>
          <w:rFonts w:ascii="Arial" w:hAnsi="Arial" w:cs="Arial"/>
        </w:rPr>
        <w:t>Buonfornello</w:t>
      </w:r>
      <w:proofErr w:type="spellEnd"/>
      <w:r>
        <w:rPr>
          <w:rFonts w:ascii="Arial" w:hAnsi="Arial" w:cs="Arial"/>
        </w:rPr>
        <w:t>.</w:t>
      </w:r>
    </w:p>
    <w:p w:rsidR="004F3363" w:rsidRDefault="004F3363" w:rsidP="004F3363">
      <w:pPr>
        <w:spacing w:line="300" w:lineRule="atLeast"/>
        <w:jc w:val="both"/>
      </w:pPr>
      <w:r>
        <w:rPr>
          <w:rFonts w:ascii="Arial" w:hAnsi="Arial" w:cs="Arial"/>
        </w:rPr>
        <w:t xml:space="preserve">Nel 1975 viene aperto il tratto </w:t>
      </w:r>
      <w:proofErr w:type="spellStart"/>
      <w:r>
        <w:rPr>
          <w:rFonts w:ascii="Arial" w:hAnsi="Arial" w:cs="Arial"/>
        </w:rPr>
        <w:t>Buonfornello</w:t>
      </w:r>
      <w:proofErr w:type="spellEnd"/>
      <w:r>
        <w:rPr>
          <w:rFonts w:ascii="Arial" w:hAnsi="Arial" w:cs="Arial"/>
        </w:rPr>
        <w:t>-Catania.</w:t>
      </w:r>
      <w:bookmarkStart w:id="0" w:name="_GoBack"/>
      <w:bookmarkEnd w:id="0"/>
    </w:p>
    <w:p w:rsidR="004F3363" w:rsidRDefault="004F3363" w:rsidP="004F3363">
      <w:pPr>
        <w:spacing w:line="300" w:lineRule="atLeast"/>
        <w:jc w:val="both"/>
      </w:pPr>
      <w:r>
        <w:rPr>
          <w:rFonts w:ascii="Arial" w:hAnsi="Arial" w:cs="Arial"/>
        </w:rPr>
        <w:t>L’A19 collega direttamente le città di Palermo, Catania, Caltanissetta ed Enna.</w:t>
      </w:r>
    </w:p>
    <w:p w:rsidR="004F3363" w:rsidRDefault="004F3363" w:rsidP="004F3363">
      <w:pPr>
        <w:spacing w:line="300" w:lineRule="atLeast"/>
        <w:jc w:val="both"/>
      </w:pPr>
      <w:r>
        <w:rPr>
          <w:rFonts w:ascii="Arial" w:hAnsi="Arial" w:cs="Arial"/>
        </w:rPr>
        <w:t>E’ lunga 192,800 km.</w:t>
      </w:r>
    </w:p>
    <w:p w:rsidR="004F3363" w:rsidRDefault="004F3363" w:rsidP="004F3363">
      <w:pPr>
        <w:spacing w:line="300" w:lineRule="atLeast"/>
        <w:jc w:val="both"/>
      </w:pPr>
      <w:r>
        <w:rPr>
          <w:rFonts w:ascii="Arial" w:hAnsi="Arial" w:cs="Arial"/>
        </w:rPr>
        <w:t>L’Autostrada A19 conta ben 219 opere, tra ponti e viadotti, per uno sviluppo complessivo di circa 59 km, pari al 31% dell’intero tracciato, 28 gallerie di lunghezza complessiva di circa 8 km, pari al 12% del tracciato e 19 svincoli.</w:t>
      </w:r>
    </w:p>
    <w:p w:rsidR="004F3363" w:rsidRDefault="004F3363" w:rsidP="004F3363">
      <w:pPr>
        <w:spacing w:line="300" w:lineRule="atLeast"/>
        <w:jc w:val="both"/>
      </w:pPr>
      <w:r>
        <w:rPr>
          <w:rFonts w:ascii="Arial" w:hAnsi="Arial" w:cs="Arial"/>
        </w:rPr>
        <w:t xml:space="preserve">L’arteria autostradale risente dei 40 anni di esercizio e dei mutati volumi di traffico e necessita di interventi di manutenzione straordinaria. In tale quadro Anas ha predisposto un programma di manutenzione straordinaria per un investimento pari a 842 milioni di euro che prevede: </w:t>
      </w:r>
    </w:p>
    <w:p w:rsidR="004F3363" w:rsidRDefault="004F3363" w:rsidP="004F3363">
      <w:pPr>
        <w:spacing w:line="300" w:lineRule="atLeast"/>
        <w:jc w:val="both"/>
      </w:pPr>
      <w:r>
        <w:rPr>
          <w:rFonts w:ascii="Arial" w:hAnsi="Arial" w:cs="Arial"/>
          <w:b/>
          <w:bCs/>
        </w:rPr>
        <w:t>Gallerie</w:t>
      </w:r>
      <w:r>
        <w:rPr>
          <w:rFonts w:ascii="Arial" w:hAnsi="Arial" w:cs="Arial"/>
        </w:rPr>
        <w:t xml:space="preserve"> - per tutte le gallerie l’adeguamento degli impianti tecnologici, tra cui: i sistemi di illuminazione, che saranno trasformati con nuovi impianti a LED, i sistemi di ventilazione, di segnaletica e comunicazione dati e radio. Saranno anche ammodernati gli impianti di illuminazione di tutti gli svincoli e quelli presenti lungo l’asse da Palermo fino allo svincolo di Bagheria. </w:t>
      </w:r>
    </w:p>
    <w:p w:rsidR="004F3363" w:rsidRDefault="004F3363" w:rsidP="004F3363">
      <w:pPr>
        <w:spacing w:line="300" w:lineRule="atLeast"/>
        <w:jc w:val="both"/>
      </w:pPr>
      <w:r>
        <w:rPr>
          <w:rFonts w:ascii="Arial" w:hAnsi="Arial" w:cs="Arial"/>
          <w:b/>
          <w:bCs/>
        </w:rPr>
        <w:t>Pavimentazione</w:t>
      </w:r>
      <w:r>
        <w:rPr>
          <w:rFonts w:ascii="Arial" w:hAnsi="Arial" w:cs="Arial"/>
        </w:rPr>
        <w:t xml:space="preserve"> - Previsti anche interventi di totale rifacimento della pavimentazione stradale per l’intero tracciato, il rifacimento della segnaletica orizzontale, la sostituzione e l’adeguamento delle barriere stradali, laterali e spartitraffico. Interventi che consentiranno l’innalzamento degli standard di sicurezza e comfort della circolazione stradale.</w:t>
      </w:r>
    </w:p>
    <w:p w:rsidR="004F3363" w:rsidRDefault="004F3363" w:rsidP="004F3363">
      <w:pPr>
        <w:spacing w:line="300" w:lineRule="atLeast"/>
        <w:jc w:val="both"/>
      </w:pPr>
      <w:r>
        <w:rPr>
          <w:rFonts w:ascii="Arial" w:hAnsi="Arial" w:cs="Arial"/>
          <w:b/>
          <w:bCs/>
        </w:rPr>
        <w:t>Ponti e viadotti</w:t>
      </w:r>
      <w:r>
        <w:rPr>
          <w:rFonts w:ascii="Arial" w:hAnsi="Arial" w:cs="Arial"/>
        </w:rPr>
        <w:t xml:space="preserve"> - Sempre al fine di innalzare gli standard di sicurezza, è previsto il risanamento strutturale di tutti i ponti ed i viadotti, in entrambe le carreggiate. Tra gli interventi più rilevanti vi sono i lavori di ripristino del transito veicolare tra gli svincoli di Scillato e </w:t>
      </w:r>
      <w:proofErr w:type="spellStart"/>
      <w:r>
        <w:rPr>
          <w:rFonts w:ascii="Arial" w:hAnsi="Arial" w:cs="Arial"/>
        </w:rPr>
        <w:t>Tremonzelli</w:t>
      </w:r>
      <w:proofErr w:type="spellEnd"/>
      <w:r>
        <w:rPr>
          <w:rFonts w:ascii="Arial" w:hAnsi="Arial" w:cs="Arial"/>
        </w:rPr>
        <w:t xml:space="preserve"> con la costruzione di un nuovo viadotto </w:t>
      </w:r>
      <w:proofErr w:type="spellStart"/>
      <w:r>
        <w:rPr>
          <w:rFonts w:ascii="Arial" w:hAnsi="Arial" w:cs="Arial"/>
        </w:rPr>
        <w:t>Himera</w:t>
      </w:r>
      <w:proofErr w:type="spellEnd"/>
      <w:r>
        <w:rPr>
          <w:rFonts w:ascii="Arial" w:hAnsi="Arial" w:cs="Arial"/>
        </w:rPr>
        <w:t xml:space="preserve"> in acciaio a tre campate di grande luce, con uno sviluppo complessivo di 270 m. La campata centrale, di estensione 130 m, consentirà di scavalcare tutta la parte centrale del corpo di frana, mentre le due pile e le relative fondazioni, posizionate ai margini della stessa, saranno dimensionate per resistere al complesso quadro geomorfologico esistente sui versanti</w:t>
      </w:r>
      <w:r>
        <w:rPr>
          <w:rFonts w:ascii="Arial" w:hAnsi="Arial" w:cs="Arial"/>
          <w:b/>
          <w:bCs/>
        </w:rPr>
        <w:t>.</w:t>
      </w:r>
    </w:p>
    <w:p w:rsidR="004F3363" w:rsidRDefault="004F3363" w:rsidP="004F3363">
      <w:pPr>
        <w:spacing w:line="300" w:lineRule="atLeast"/>
        <w:jc w:val="both"/>
      </w:pPr>
      <w:r>
        <w:rPr>
          <w:rFonts w:ascii="Arial" w:hAnsi="Arial" w:cs="Arial"/>
          <w:b/>
          <w:bCs/>
        </w:rPr>
        <w:t>Segnaletica turistica</w:t>
      </w:r>
      <w:r>
        <w:rPr>
          <w:rFonts w:ascii="Arial" w:hAnsi="Arial" w:cs="Arial"/>
        </w:rPr>
        <w:t xml:space="preserve"> - Sarà prevista anche l’installazione di una nuova cartellonistica in corrispondenza degli svincoli dell’A19 per gli itinerari turistici e culturali.</w:t>
      </w:r>
    </w:p>
    <w:p w:rsidR="004F3363" w:rsidRDefault="004F3363" w:rsidP="004F3363">
      <w:pPr>
        <w:spacing w:line="300" w:lineRule="atLeast"/>
        <w:jc w:val="both"/>
      </w:pPr>
      <w:r>
        <w:rPr>
          <w:rFonts w:ascii="Arial" w:hAnsi="Arial" w:cs="Arial"/>
          <w:b/>
          <w:bCs/>
        </w:rPr>
        <w:t>Nuove tecnologie</w:t>
      </w:r>
      <w:r>
        <w:rPr>
          <w:rFonts w:ascii="Arial" w:hAnsi="Arial" w:cs="Arial"/>
        </w:rPr>
        <w:t xml:space="preserve"> - Saranno implementati sistemi tecnologici ad alto contenuto innovativo per la gestione del traffico veicolare e per l’informazione agli utenti. </w:t>
      </w:r>
    </w:p>
    <w:p w:rsidR="004F3363" w:rsidRDefault="004F3363" w:rsidP="004F3363">
      <w:pPr>
        <w:spacing w:line="300" w:lineRule="atLeast"/>
        <w:jc w:val="both"/>
      </w:pPr>
      <w:r>
        <w:rPr>
          <w:rFonts w:ascii="Arial" w:hAnsi="Arial" w:cs="Arial"/>
          <w:b/>
          <w:bCs/>
        </w:rPr>
        <w:t>Dissesto idrogeologico</w:t>
      </w:r>
      <w:r>
        <w:rPr>
          <w:rFonts w:ascii="Arial" w:hAnsi="Arial" w:cs="Arial"/>
        </w:rPr>
        <w:t xml:space="preserve"> – Anas e ISPRA hanno siglato il 23 ottobre scorso un Protocollo d’intesa finalizzato all’utilizzo dei dati relativi ai fenomeni di dissesto idrogeologico nella disponibilità di ISPRA, tra cui l’Inventario dei Fenomeni Franosi in Italia, sia per la Regione Sicilia sia per tutto il territorio nazionale, al fine di verificarne e monitorare l’eventuale impatto sulla rete stradale di competenza Anas.</w:t>
      </w:r>
    </w:p>
    <w:p w:rsidR="004F3363" w:rsidRDefault="004F3363" w:rsidP="004F3363">
      <w:pPr>
        <w:spacing w:line="300" w:lineRule="atLeast"/>
        <w:jc w:val="both"/>
      </w:pPr>
      <w:r>
        <w:rPr>
          <w:rFonts w:ascii="Arial" w:hAnsi="Arial" w:cs="Arial"/>
        </w:rPr>
        <w:t> </w:t>
      </w:r>
    </w:p>
    <w:p w:rsidR="00574D26" w:rsidRDefault="00506E84"/>
    <w:sectPr w:rsidR="00574D2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84" w:rsidRDefault="00506E84" w:rsidP="004F3363">
      <w:r>
        <w:separator/>
      </w:r>
    </w:p>
  </w:endnote>
  <w:endnote w:type="continuationSeparator" w:id="0">
    <w:p w:rsidR="00506E84" w:rsidRDefault="00506E84" w:rsidP="004F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84" w:rsidRDefault="00506E84" w:rsidP="004F3363">
      <w:r>
        <w:separator/>
      </w:r>
    </w:p>
  </w:footnote>
  <w:footnote w:type="continuationSeparator" w:id="0">
    <w:p w:rsidR="00506E84" w:rsidRDefault="00506E84" w:rsidP="004F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63" w:rsidRDefault="004F3363">
    <w:pPr>
      <w:pStyle w:val="Intestazione"/>
    </w:pPr>
    <w:r>
      <w:rPr>
        <w:noProof/>
      </w:rPr>
      <w:drawing>
        <wp:anchor distT="0" distB="0" distL="114300" distR="114300" simplePos="0" relativeHeight="251659264" behindDoc="0" locked="0" layoutInCell="1" allowOverlap="1" wp14:anchorId="0278A715" wp14:editId="69AE732B">
          <wp:simplePos x="0" y="0"/>
          <wp:positionH relativeFrom="column">
            <wp:posOffset>0</wp:posOffset>
          </wp:positionH>
          <wp:positionV relativeFrom="paragraph">
            <wp:posOffset>172085</wp:posOffset>
          </wp:positionV>
          <wp:extent cx="585470" cy="914400"/>
          <wp:effectExtent l="19050" t="0" r="5080" b="0"/>
          <wp:wrapSquare wrapText="bothSides"/>
          <wp:docPr id="12" name="Immagine 12" descr="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641"/>
                  <pic:cNvPicPr>
                    <a:picLocks noChangeAspect="1" noChangeArrowheads="1"/>
                  </pic:cNvPicPr>
                </pic:nvPicPr>
                <pic:blipFill>
                  <a:blip r:embed="rId1"/>
                  <a:srcRect/>
                  <a:stretch>
                    <a:fillRect/>
                  </a:stretch>
                </pic:blipFill>
                <pic:spPr bwMode="auto">
                  <a:xfrm>
                    <a:off x="0" y="0"/>
                    <a:ext cx="585470" cy="914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63"/>
    <w:rsid w:val="002E602E"/>
    <w:rsid w:val="004F3363"/>
    <w:rsid w:val="00506E84"/>
    <w:rsid w:val="00FD0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5C85B-6D1B-4474-8F65-DF6654FE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336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363"/>
    <w:pPr>
      <w:tabs>
        <w:tab w:val="center" w:pos="4819"/>
        <w:tab w:val="right" w:pos="9638"/>
      </w:tabs>
    </w:pPr>
  </w:style>
  <w:style w:type="character" w:customStyle="1" w:styleId="IntestazioneCarattere">
    <w:name w:val="Intestazione Carattere"/>
    <w:basedOn w:val="Carpredefinitoparagrafo"/>
    <w:link w:val="Intestazione"/>
    <w:uiPriority w:val="99"/>
    <w:rsid w:val="004F336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F3363"/>
    <w:pPr>
      <w:tabs>
        <w:tab w:val="center" w:pos="4819"/>
        <w:tab w:val="right" w:pos="9638"/>
      </w:tabs>
    </w:pPr>
  </w:style>
  <w:style w:type="character" w:customStyle="1" w:styleId="PidipaginaCarattere">
    <w:name w:val="Piè di pagina Carattere"/>
    <w:basedOn w:val="Carpredefinitoparagrafo"/>
    <w:link w:val="Pidipagina"/>
    <w:uiPriority w:val="99"/>
    <w:rsid w:val="004F336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ANAS S.p.A - DCSII</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Zucchini Manuela</dc:creator>
  <cp:keywords/>
  <dc:description/>
  <cp:lastModifiedBy>Zucchini Manuela</cp:lastModifiedBy>
  <cp:revision>1</cp:revision>
  <dcterms:created xsi:type="dcterms:W3CDTF">2015-11-16T11:30:00Z</dcterms:created>
  <dcterms:modified xsi:type="dcterms:W3CDTF">2015-11-16T11:31:00Z</dcterms:modified>
</cp:coreProperties>
</file>